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5789" w:rsidRDefault="005F5789">
      <w:pPr>
        <w:tabs>
          <w:tab w:val="left" w:pos="1655"/>
        </w:tabs>
      </w:pPr>
    </w:p>
    <w:p w:rsidR="005F5789" w:rsidRDefault="00C61D4A">
      <w:pPr>
        <w:ind w:left="-76"/>
        <w:jc w:val="center"/>
        <w:rPr>
          <w:rFonts w:ascii="Source Sans Pro" w:hAnsi="Source Sans Pro" w:cs="Tahoma"/>
          <w:b/>
          <w:sz w:val="21"/>
          <w:szCs w:val="21"/>
        </w:rPr>
      </w:pPr>
      <w:r>
        <w:rPr>
          <w:rFonts w:ascii="Source Sans Pro" w:hAnsi="Source Sans Pro" w:cs="Tahoma"/>
          <w:b/>
          <w:sz w:val="21"/>
          <w:szCs w:val="21"/>
        </w:rPr>
        <w:t>ANEXO I AL CUADRO RESUMEN</w:t>
      </w:r>
    </w:p>
    <w:p w:rsidR="005F5789" w:rsidRDefault="00C61D4A">
      <w:pPr>
        <w:ind w:left="-76"/>
        <w:jc w:val="center"/>
        <w:rPr>
          <w:rFonts w:ascii="Source Sans Pro" w:hAnsi="Source Sans Pro" w:cs="Tahoma"/>
          <w:b/>
          <w:sz w:val="21"/>
          <w:szCs w:val="21"/>
        </w:rPr>
      </w:pPr>
      <w:r>
        <w:rPr>
          <w:rFonts w:ascii="Source Sans Pro" w:hAnsi="Source Sans Pro" w:cs="Tahoma"/>
          <w:b/>
          <w:sz w:val="21"/>
          <w:szCs w:val="21"/>
        </w:rPr>
        <w:t>CRITERIOS DE ADJUDICACIÓN</w:t>
      </w:r>
    </w:p>
    <w:p w:rsidR="005F5789" w:rsidRDefault="00C61D4A">
      <w:pPr>
        <w:spacing w:before="120" w:after="120" w:line="240" w:lineRule="auto"/>
        <w:jc w:val="both"/>
        <w:rPr>
          <w:rFonts w:ascii="Source Sans Pro" w:eastAsia="Noto Sans HK" w:hAnsi="Source Sans Pro" w:cs="Times New Roman"/>
          <w:color w:val="21211E"/>
          <w:sz w:val="21"/>
          <w:szCs w:val="21"/>
        </w:rPr>
      </w:pPr>
      <w:r>
        <w:rPr>
          <w:rFonts w:ascii="Source Sans Pro" w:eastAsia="Noto Sans HK" w:hAnsi="Source Sans Pro" w:cs="Times New Roman"/>
          <w:color w:val="21211E"/>
          <w:sz w:val="21"/>
          <w:szCs w:val="21"/>
        </w:rPr>
        <w:t>A los efectos de lo previsto en el art. 116.4 apartado c) de la Ley 9/2017, de 8 de noviembre, de Contratos del Sector Público, los criterios para adjudicar el contrato de referencia se basarán en la mejor relación calidad-precio y son, atendiendo a su objeto y características, los siguientes:</w:t>
      </w:r>
    </w:p>
    <w:tbl>
      <w:tblPr>
        <w:tblW w:w="9371" w:type="dxa"/>
        <w:jc w:val="right"/>
        <w:tblLayout w:type="fixed"/>
        <w:tblCellMar>
          <w:left w:w="0" w:type="dxa"/>
          <w:right w:w="5" w:type="dxa"/>
        </w:tblCellMar>
        <w:tblLook w:val="04A0" w:firstRow="1" w:lastRow="0" w:firstColumn="1" w:lastColumn="0" w:noHBand="0" w:noVBand="1"/>
      </w:tblPr>
      <w:tblGrid>
        <w:gridCol w:w="1296"/>
        <w:gridCol w:w="3801"/>
        <w:gridCol w:w="1418"/>
        <w:gridCol w:w="1559"/>
        <w:gridCol w:w="1297"/>
      </w:tblGrid>
      <w:tr w:rsidR="005F5789">
        <w:trPr>
          <w:trHeight w:hRule="exact" w:val="909"/>
          <w:jc w:val="right"/>
        </w:trPr>
        <w:tc>
          <w:tcPr>
            <w:tcW w:w="12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5F5789" w:rsidRDefault="00C61D4A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b/>
                <w:color w:val="21211E"/>
                <w:sz w:val="21"/>
                <w:szCs w:val="21"/>
                <w:u w:val="single"/>
              </w:rPr>
            </w:pPr>
            <w:proofErr w:type="spellStart"/>
            <w:r>
              <w:rPr>
                <w:rFonts w:ascii="Source Sans Pro" w:eastAsia="Noto Sans HK" w:hAnsi="Source Sans Pro" w:cs="Times New Roman"/>
                <w:b/>
                <w:color w:val="21211E"/>
                <w:sz w:val="21"/>
                <w:szCs w:val="21"/>
                <w:u w:val="single"/>
              </w:rPr>
              <w:t>Nº</w:t>
            </w:r>
            <w:proofErr w:type="spellEnd"/>
            <w:r>
              <w:rPr>
                <w:rFonts w:ascii="Source Sans Pro" w:eastAsia="Noto Sans HK" w:hAnsi="Source Sans Pro" w:cs="Times New Roman"/>
                <w:b/>
                <w:color w:val="21211E"/>
                <w:sz w:val="21"/>
                <w:szCs w:val="21"/>
                <w:u w:val="single"/>
              </w:rPr>
              <w:t xml:space="preserve">   ORDEN,</w:t>
            </w:r>
          </w:p>
          <w:p w:rsidR="005F5789" w:rsidRDefault="00C61D4A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b/>
                <w:color w:val="21211E"/>
                <w:sz w:val="21"/>
                <w:szCs w:val="21"/>
                <w:u w:val="single"/>
              </w:rPr>
            </w:pPr>
            <w:r>
              <w:rPr>
                <w:rFonts w:ascii="Source Sans Pro" w:eastAsia="Noto Sans HK" w:hAnsi="Source Sans Pro" w:cs="Times New Roman"/>
                <w:b/>
                <w:color w:val="21211E"/>
                <w:sz w:val="21"/>
                <w:szCs w:val="21"/>
                <w:u w:val="single"/>
              </w:rPr>
              <w:t>DECRECIENTE</w:t>
            </w:r>
          </w:p>
        </w:tc>
        <w:tc>
          <w:tcPr>
            <w:tcW w:w="380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5F5789" w:rsidRDefault="00C61D4A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b/>
                <w:color w:val="21211E"/>
                <w:sz w:val="21"/>
                <w:szCs w:val="21"/>
                <w:u w:val="single"/>
              </w:rPr>
            </w:pPr>
            <w:r>
              <w:rPr>
                <w:rFonts w:ascii="Source Sans Pro" w:eastAsia="Noto Sans HK" w:hAnsi="Source Sans Pro" w:cs="Times New Roman"/>
                <w:b/>
                <w:color w:val="21211E"/>
                <w:sz w:val="21"/>
                <w:szCs w:val="21"/>
                <w:u w:val="single"/>
              </w:rPr>
              <w:t>CRITERIOS</w:t>
            </w:r>
          </w:p>
        </w:tc>
        <w:tc>
          <w:tcPr>
            <w:tcW w:w="1418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5F5789" w:rsidRDefault="00C61D4A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b/>
                <w:color w:val="21211E"/>
                <w:sz w:val="21"/>
                <w:szCs w:val="21"/>
                <w:u w:val="single"/>
              </w:rPr>
            </w:pPr>
            <w:r>
              <w:rPr>
                <w:rFonts w:ascii="Source Sans Pro" w:eastAsia="Noto Sans HK" w:hAnsi="Source Sans Pro" w:cs="Times New Roman"/>
                <w:b/>
                <w:color w:val="21211E"/>
                <w:sz w:val="21"/>
                <w:szCs w:val="21"/>
                <w:u w:val="single"/>
              </w:rPr>
              <w:t>TIPO</w:t>
            </w:r>
          </w:p>
          <w:p w:rsidR="005F5789" w:rsidRDefault="00C61D4A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b/>
                <w:color w:val="21211E"/>
                <w:sz w:val="21"/>
                <w:szCs w:val="21"/>
                <w:u w:val="single"/>
              </w:rPr>
            </w:pPr>
            <w:r>
              <w:rPr>
                <w:rFonts w:ascii="Source Sans Pro" w:eastAsia="Noto Sans HK" w:hAnsi="Source Sans Pro" w:cs="Times New Roman"/>
                <w:b/>
                <w:color w:val="21211E"/>
                <w:sz w:val="21"/>
                <w:szCs w:val="21"/>
                <w:u w:val="single"/>
              </w:rPr>
              <w:t>EVALUACIÓN</w:t>
            </w:r>
          </w:p>
        </w:tc>
        <w:tc>
          <w:tcPr>
            <w:tcW w:w="15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5F5789" w:rsidRDefault="00C61D4A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b/>
                <w:color w:val="21211E"/>
                <w:sz w:val="21"/>
                <w:szCs w:val="21"/>
                <w:u w:val="single"/>
              </w:rPr>
            </w:pPr>
            <w:r>
              <w:rPr>
                <w:rFonts w:ascii="Source Sans Pro" w:eastAsia="Noto Sans HK" w:hAnsi="Source Sans Pro" w:cs="Times New Roman"/>
                <w:b/>
                <w:color w:val="21211E"/>
                <w:sz w:val="21"/>
                <w:szCs w:val="21"/>
                <w:u w:val="single"/>
              </w:rPr>
              <w:t>PONDERACIÓN</w:t>
            </w:r>
          </w:p>
        </w:tc>
        <w:tc>
          <w:tcPr>
            <w:tcW w:w="129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5F5789" w:rsidRDefault="00C61D4A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b/>
                <w:color w:val="21211E"/>
                <w:sz w:val="21"/>
                <w:szCs w:val="21"/>
                <w:u w:val="single"/>
              </w:rPr>
            </w:pPr>
            <w:r>
              <w:rPr>
                <w:rFonts w:ascii="Source Sans Pro" w:eastAsia="Noto Sans HK" w:hAnsi="Source Sans Pro" w:cs="Times New Roman"/>
                <w:b/>
                <w:color w:val="21211E"/>
                <w:sz w:val="21"/>
                <w:szCs w:val="21"/>
                <w:u w:val="single"/>
              </w:rPr>
              <w:t>UMBRAL</w:t>
            </w:r>
          </w:p>
          <w:p w:rsidR="005F5789" w:rsidRDefault="00C61D4A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b/>
                <w:color w:val="21211E"/>
                <w:sz w:val="21"/>
                <w:szCs w:val="21"/>
                <w:u w:val="single"/>
              </w:rPr>
            </w:pPr>
            <w:r>
              <w:rPr>
                <w:rFonts w:ascii="Source Sans Pro" w:eastAsia="Noto Sans HK" w:hAnsi="Source Sans Pro" w:cs="Times New Roman"/>
                <w:b/>
                <w:color w:val="21211E"/>
                <w:sz w:val="21"/>
                <w:szCs w:val="21"/>
                <w:u w:val="single"/>
              </w:rPr>
              <w:t>MÍNIMO</w:t>
            </w:r>
          </w:p>
          <w:p w:rsidR="005F5789" w:rsidRDefault="005F5789">
            <w:pPr>
              <w:widowControl w:val="0"/>
              <w:spacing w:before="120" w:after="120" w:line="240" w:lineRule="auto"/>
              <w:jc w:val="right"/>
              <w:rPr>
                <w:rFonts w:ascii="Source Sans Pro" w:eastAsia="Noto Sans HK" w:hAnsi="Source Sans Pro" w:cs="Times New Roman"/>
                <w:b/>
                <w:color w:val="21211E"/>
                <w:sz w:val="21"/>
                <w:szCs w:val="21"/>
                <w:u w:val="single"/>
              </w:rPr>
            </w:pPr>
          </w:p>
          <w:p w:rsidR="005F5789" w:rsidRDefault="00C61D4A">
            <w:pPr>
              <w:widowControl w:val="0"/>
              <w:spacing w:before="120" w:after="120" w:line="240" w:lineRule="auto"/>
              <w:jc w:val="right"/>
              <w:rPr>
                <w:rFonts w:ascii="Source Sans Pro" w:eastAsia="Noto Sans HK" w:hAnsi="Source Sans Pro" w:cs="Times New Roman"/>
                <w:b/>
                <w:color w:val="21211E"/>
                <w:sz w:val="21"/>
                <w:szCs w:val="21"/>
                <w:u w:val="single"/>
              </w:rPr>
            </w:pPr>
            <w:r>
              <w:rPr>
                <w:rFonts w:ascii="Source Sans Pro" w:eastAsia="Noto Sans HK" w:hAnsi="Source Sans Pro" w:cs="Times New Roman"/>
                <w:b/>
                <w:color w:val="21211E"/>
                <w:sz w:val="21"/>
                <w:szCs w:val="21"/>
                <w:u w:val="single"/>
              </w:rPr>
              <w:t>(EN   SU</w:t>
            </w:r>
          </w:p>
          <w:p w:rsidR="005F5789" w:rsidRDefault="00C61D4A">
            <w:pPr>
              <w:widowControl w:val="0"/>
              <w:spacing w:before="120" w:after="120" w:line="240" w:lineRule="auto"/>
              <w:jc w:val="right"/>
              <w:rPr>
                <w:rFonts w:ascii="Source Sans Pro" w:eastAsia="Noto Sans HK" w:hAnsi="Source Sans Pro" w:cs="Times New Roman"/>
                <w:b/>
                <w:color w:val="21211E"/>
                <w:sz w:val="21"/>
                <w:szCs w:val="21"/>
                <w:u w:val="single"/>
              </w:rPr>
            </w:pPr>
            <w:r>
              <w:rPr>
                <w:rFonts w:ascii="Source Sans Pro" w:eastAsia="Noto Sans HK" w:hAnsi="Source Sans Pro" w:cs="Times New Roman"/>
                <w:b/>
                <w:color w:val="21211E"/>
                <w:sz w:val="21"/>
                <w:szCs w:val="21"/>
                <w:u w:val="single"/>
              </w:rPr>
              <w:t>CASO)</w:t>
            </w:r>
          </w:p>
        </w:tc>
      </w:tr>
      <w:tr w:rsidR="005F5789">
        <w:trPr>
          <w:trHeight w:hRule="exact" w:val="670"/>
          <w:jc w:val="right"/>
        </w:trPr>
        <w:tc>
          <w:tcPr>
            <w:tcW w:w="12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5F5789" w:rsidRDefault="00C61D4A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</w:pPr>
            <w:r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  <w:t>1</w:t>
            </w:r>
          </w:p>
        </w:tc>
        <w:tc>
          <w:tcPr>
            <w:tcW w:w="380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5F5789" w:rsidRDefault="00C61D4A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</w:pPr>
            <w:r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  <w:t>CRITERIO ECONÓMICO. Oferta Económica</w:t>
            </w:r>
          </w:p>
        </w:tc>
        <w:tc>
          <w:tcPr>
            <w:tcW w:w="1418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5F5789" w:rsidRDefault="00C61D4A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</w:pPr>
            <w:r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  <w:t>Automática</w:t>
            </w:r>
          </w:p>
        </w:tc>
        <w:tc>
          <w:tcPr>
            <w:tcW w:w="15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5F5789" w:rsidRDefault="00C61D4A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</w:pPr>
            <w:r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  <w:t xml:space="preserve">60 </w:t>
            </w:r>
            <w:proofErr w:type="gramStart"/>
            <w:r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  <w:t>Puntos</w:t>
            </w:r>
            <w:proofErr w:type="gramEnd"/>
          </w:p>
        </w:tc>
        <w:tc>
          <w:tcPr>
            <w:tcW w:w="129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5F5789" w:rsidRDefault="005F5789">
            <w:pPr>
              <w:widowControl w:val="0"/>
              <w:spacing w:before="120" w:after="120" w:line="240" w:lineRule="auto"/>
              <w:jc w:val="right"/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</w:pPr>
          </w:p>
        </w:tc>
      </w:tr>
      <w:tr w:rsidR="005F5789">
        <w:trPr>
          <w:trHeight w:hRule="exact" w:val="554"/>
          <w:jc w:val="right"/>
        </w:trPr>
        <w:tc>
          <w:tcPr>
            <w:tcW w:w="12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5F5789" w:rsidRDefault="00C61D4A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</w:pPr>
            <w:r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  <w:t>2</w:t>
            </w:r>
          </w:p>
        </w:tc>
        <w:tc>
          <w:tcPr>
            <w:tcW w:w="380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5F5789" w:rsidRDefault="00C61D4A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</w:pPr>
            <w:r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  <w:t>CRITERIO TÉCNICO. Eficiencia de Lavado</w:t>
            </w:r>
          </w:p>
        </w:tc>
        <w:tc>
          <w:tcPr>
            <w:tcW w:w="1418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5F5789" w:rsidRDefault="00C61D4A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</w:pPr>
            <w:r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  <w:t>Automática</w:t>
            </w:r>
          </w:p>
        </w:tc>
        <w:tc>
          <w:tcPr>
            <w:tcW w:w="15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5F5789" w:rsidRDefault="00C61D4A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</w:pPr>
            <w:r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  <w:t xml:space="preserve">20 </w:t>
            </w:r>
            <w:proofErr w:type="gramStart"/>
            <w:r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  <w:t>Puntos</w:t>
            </w:r>
            <w:proofErr w:type="gramEnd"/>
          </w:p>
        </w:tc>
        <w:tc>
          <w:tcPr>
            <w:tcW w:w="129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5F5789" w:rsidRDefault="005F5789">
            <w:pPr>
              <w:widowControl w:val="0"/>
              <w:spacing w:before="120" w:after="120" w:line="240" w:lineRule="auto"/>
              <w:jc w:val="right"/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</w:pPr>
          </w:p>
        </w:tc>
      </w:tr>
      <w:tr w:rsidR="005F5789">
        <w:trPr>
          <w:trHeight w:hRule="exact" w:val="911"/>
          <w:jc w:val="right"/>
        </w:trPr>
        <w:tc>
          <w:tcPr>
            <w:tcW w:w="129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5F5789" w:rsidRDefault="005F5789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</w:pPr>
          </w:p>
          <w:p w:rsidR="005F5789" w:rsidRDefault="00C61D4A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</w:pPr>
            <w:r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  <w:t>3</w:t>
            </w:r>
          </w:p>
          <w:p w:rsidR="005F5789" w:rsidRDefault="005F5789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</w:pPr>
          </w:p>
        </w:tc>
        <w:tc>
          <w:tcPr>
            <w:tcW w:w="380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5F5789" w:rsidRDefault="00C61D4A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</w:pPr>
            <w:r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  <w:t xml:space="preserve">CRITERIO TÉCNICO. </w:t>
            </w:r>
          </w:p>
          <w:p w:rsidR="005F5789" w:rsidRDefault="00C61D4A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</w:pPr>
            <w:r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  <w:t>Valoración Funcional de la Oferta</w:t>
            </w:r>
          </w:p>
          <w:p w:rsidR="005F5789" w:rsidRDefault="005F5789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5F5789" w:rsidRDefault="005F5789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</w:pPr>
          </w:p>
          <w:p w:rsidR="005F5789" w:rsidRDefault="00C61D4A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</w:pPr>
            <w:r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  <w:t>No Automática</w:t>
            </w:r>
          </w:p>
        </w:tc>
        <w:tc>
          <w:tcPr>
            <w:tcW w:w="15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5F5789" w:rsidRDefault="005F5789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</w:pPr>
          </w:p>
          <w:p w:rsidR="005F5789" w:rsidRDefault="00C61D4A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</w:pPr>
            <w:r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  <w:t xml:space="preserve">20 </w:t>
            </w:r>
            <w:proofErr w:type="gramStart"/>
            <w:r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  <w:t>Puntos</w:t>
            </w:r>
            <w:proofErr w:type="gramEnd"/>
          </w:p>
        </w:tc>
        <w:tc>
          <w:tcPr>
            <w:tcW w:w="129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5F5789" w:rsidRDefault="00C61D4A">
            <w:pPr>
              <w:widowControl w:val="0"/>
              <w:spacing w:before="120" w:after="120" w:line="240" w:lineRule="auto"/>
              <w:jc w:val="center"/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</w:pPr>
            <w:bookmarkStart w:id="0" w:name="_Hlk116908565"/>
            <w:r>
              <w:rPr>
                <w:rFonts w:ascii="Source Sans Pro" w:eastAsia="Noto Sans HK" w:hAnsi="Source Sans Pro" w:cs="Times New Roman"/>
                <w:color w:val="21211E"/>
                <w:sz w:val="21"/>
                <w:szCs w:val="21"/>
              </w:rPr>
              <w:t>Si, 10 puntos</w:t>
            </w:r>
            <w:bookmarkEnd w:id="0"/>
          </w:p>
        </w:tc>
      </w:tr>
    </w:tbl>
    <w:p w:rsidR="005F5789" w:rsidRDefault="005F5789">
      <w:pPr>
        <w:ind w:left="-76"/>
        <w:jc w:val="both"/>
        <w:rPr>
          <w:rFonts w:ascii="Source Sans Pro" w:hAnsi="Source Sans Pro" w:cs="Tahoma"/>
          <w:b/>
          <w:sz w:val="21"/>
          <w:szCs w:val="21"/>
          <w:u w:val="single"/>
        </w:rPr>
      </w:pPr>
    </w:p>
    <w:p w:rsidR="005F5789" w:rsidRDefault="00C61D4A">
      <w:pPr>
        <w:ind w:left="-76"/>
        <w:jc w:val="both"/>
        <w:rPr>
          <w:rFonts w:ascii="Source Sans Pro" w:hAnsi="Source Sans Pro" w:cs="Tahoma"/>
          <w:b/>
          <w:sz w:val="21"/>
          <w:szCs w:val="21"/>
          <w:u w:val="single"/>
        </w:rPr>
      </w:pPr>
      <w:r>
        <w:rPr>
          <w:rFonts w:ascii="Source Sans Pro" w:hAnsi="Source Sans Pro" w:cs="Tahoma"/>
          <w:b/>
          <w:sz w:val="21"/>
          <w:szCs w:val="21"/>
          <w:u w:val="single"/>
        </w:rPr>
        <w:t>A) CRITERIOS DE VALORACIÓN AUTOMÁTICOS (80 PUNTOS)</w:t>
      </w:r>
    </w:p>
    <w:p w:rsidR="005F5789" w:rsidRDefault="00C61D4A">
      <w:pPr>
        <w:ind w:left="-76"/>
        <w:jc w:val="both"/>
        <w:rPr>
          <w:rFonts w:ascii="Source Sans Pro" w:hAnsi="Source Sans Pro" w:cs="Tahoma"/>
          <w:b/>
          <w:sz w:val="21"/>
          <w:szCs w:val="21"/>
        </w:rPr>
      </w:pPr>
      <w:r>
        <w:rPr>
          <w:rFonts w:ascii="Source Sans Pro" w:hAnsi="Source Sans Pro" w:cs="Tahoma"/>
          <w:b/>
          <w:sz w:val="21"/>
          <w:szCs w:val="21"/>
        </w:rPr>
        <w:t>1. OFERTA ECONOMICA (60 puntos)</w:t>
      </w:r>
    </w:p>
    <w:p w:rsidR="005F5789" w:rsidRDefault="00C61D4A">
      <w:pPr>
        <w:ind w:left="-76"/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 xml:space="preserve">Se valorará la oferta económica, en función del precio unitario ofertado. </w:t>
      </w:r>
    </w:p>
    <w:p w:rsidR="005F5789" w:rsidRDefault="00C61D4A">
      <w:pPr>
        <w:ind w:left="-76"/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La puntuación se asignará conforme a los porcentajes de reducción que se establecen sobre el precio:</w:t>
      </w:r>
    </w:p>
    <w:p w:rsidR="005F5789" w:rsidRDefault="00C61D4A">
      <w:pPr>
        <w:ind w:left="-76"/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Un tramo lineal de 0 a 55 puntos, para las ofertas económicas que ofrezcan una reducción de hasta un 10% sobre el precio, de acuerdo con siguiente esquema:</w:t>
      </w:r>
    </w:p>
    <w:tbl>
      <w:tblPr>
        <w:tblStyle w:val="Tablaconcuadrcula"/>
        <w:tblW w:w="9629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204"/>
        <w:gridCol w:w="6663"/>
        <w:gridCol w:w="1762"/>
      </w:tblGrid>
      <w:tr w:rsidR="005F5789">
        <w:tc>
          <w:tcPr>
            <w:tcW w:w="1204" w:type="dxa"/>
          </w:tcPr>
          <w:p w:rsidR="005F5789" w:rsidRDefault="005F5789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</w:p>
        </w:tc>
        <w:tc>
          <w:tcPr>
            <w:tcW w:w="6663" w:type="dxa"/>
          </w:tcPr>
          <w:p w:rsidR="005F5789" w:rsidRDefault="005F5789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</w:p>
        </w:tc>
        <w:tc>
          <w:tcPr>
            <w:tcW w:w="1762" w:type="dxa"/>
          </w:tcPr>
          <w:p w:rsidR="005F5789" w:rsidRDefault="00C61D4A">
            <w:pPr>
              <w:spacing w:after="0" w:line="240" w:lineRule="auto"/>
              <w:ind w:left="-76"/>
              <w:jc w:val="center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PUNTOS</w:t>
            </w:r>
          </w:p>
          <w:p w:rsidR="005F5789" w:rsidRDefault="005F5789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</w:p>
        </w:tc>
      </w:tr>
      <w:tr w:rsidR="005F5789">
        <w:tc>
          <w:tcPr>
            <w:tcW w:w="1204" w:type="dxa"/>
            <w:vMerge w:val="restart"/>
            <w:vAlign w:val="center"/>
          </w:tcPr>
          <w:p w:rsidR="005F5789" w:rsidRDefault="00C61D4A">
            <w:pPr>
              <w:spacing w:after="0" w:line="240" w:lineRule="auto"/>
              <w:ind w:left="-76"/>
              <w:jc w:val="center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PRECIO UNITARIO</w:t>
            </w:r>
          </w:p>
          <w:p w:rsidR="005F5789" w:rsidRDefault="00C61D4A">
            <w:pPr>
              <w:spacing w:after="0" w:line="240" w:lineRule="auto"/>
              <w:ind w:left="-76"/>
              <w:jc w:val="center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(IVA EXCL)</w:t>
            </w:r>
          </w:p>
          <w:p w:rsidR="005F5789" w:rsidRDefault="005F5789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</w:p>
        </w:tc>
        <w:tc>
          <w:tcPr>
            <w:tcW w:w="6663" w:type="dxa"/>
          </w:tcPr>
          <w:p w:rsidR="005F5789" w:rsidRDefault="00C61D4A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Igual a cero %</w:t>
            </w:r>
          </w:p>
        </w:tc>
        <w:tc>
          <w:tcPr>
            <w:tcW w:w="1762" w:type="dxa"/>
          </w:tcPr>
          <w:p w:rsidR="005F5789" w:rsidRDefault="00C61D4A">
            <w:pPr>
              <w:spacing w:after="0" w:line="240" w:lineRule="auto"/>
              <w:jc w:val="center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0</w:t>
            </w:r>
          </w:p>
        </w:tc>
      </w:tr>
      <w:tr w:rsidR="005F5789">
        <w:tc>
          <w:tcPr>
            <w:tcW w:w="1204" w:type="dxa"/>
            <w:vMerge/>
          </w:tcPr>
          <w:p w:rsidR="005F5789" w:rsidRDefault="005F5789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</w:p>
        </w:tc>
        <w:tc>
          <w:tcPr>
            <w:tcW w:w="6663" w:type="dxa"/>
          </w:tcPr>
          <w:p w:rsidR="005F5789" w:rsidRDefault="00C61D4A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Mayor que 0% y menor o igual que 1%</w:t>
            </w:r>
          </w:p>
        </w:tc>
        <w:tc>
          <w:tcPr>
            <w:tcW w:w="1762" w:type="dxa"/>
          </w:tcPr>
          <w:p w:rsidR="005F5789" w:rsidRDefault="00C61D4A">
            <w:pPr>
              <w:spacing w:after="0" w:line="240" w:lineRule="auto"/>
              <w:jc w:val="center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5,5</w:t>
            </w:r>
          </w:p>
        </w:tc>
      </w:tr>
      <w:tr w:rsidR="005F5789">
        <w:tc>
          <w:tcPr>
            <w:tcW w:w="1204" w:type="dxa"/>
            <w:vMerge/>
          </w:tcPr>
          <w:p w:rsidR="005F5789" w:rsidRDefault="005F5789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</w:p>
        </w:tc>
        <w:tc>
          <w:tcPr>
            <w:tcW w:w="6663" w:type="dxa"/>
          </w:tcPr>
          <w:p w:rsidR="005F5789" w:rsidRDefault="00C61D4A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Mayor que 1% y menor o igual que 2%</w:t>
            </w:r>
          </w:p>
        </w:tc>
        <w:tc>
          <w:tcPr>
            <w:tcW w:w="1762" w:type="dxa"/>
          </w:tcPr>
          <w:p w:rsidR="005F5789" w:rsidRDefault="00C61D4A">
            <w:pPr>
              <w:spacing w:after="0" w:line="240" w:lineRule="auto"/>
              <w:jc w:val="center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11</w:t>
            </w:r>
          </w:p>
        </w:tc>
      </w:tr>
      <w:tr w:rsidR="005F5789">
        <w:tc>
          <w:tcPr>
            <w:tcW w:w="1204" w:type="dxa"/>
            <w:vMerge/>
          </w:tcPr>
          <w:p w:rsidR="005F5789" w:rsidRDefault="005F5789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</w:p>
        </w:tc>
        <w:tc>
          <w:tcPr>
            <w:tcW w:w="6663" w:type="dxa"/>
          </w:tcPr>
          <w:p w:rsidR="005F5789" w:rsidRDefault="00C61D4A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Mayor que 2% y menor o igual que 3%</w:t>
            </w:r>
          </w:p>
        </w:tc>
        <w:tc>
          <w:tcPr>
            <w:tcW w:w="1762" w:type="dxa"/>
          </w:tcPr>
          <w:p w:rsidR="005F5789" w:rsidRDefault="00C61D4A">
            <w:pPr>
              <w:spacing w:after="0" w:line="240" w:lineRule="auto"/>
              <w:jc w:val="center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16,5</w:t>
            </w:r>
          </w:p>
        </w:tc>
      </w:tr>
      <w:tr w:rsidR="005F5789">
        <w:tc>
          <w:tcPr>
            <w:tcW w:w="1204" w:type="dxa"/>
            <w:vMerge/>
          </w:tcPr>
          <w:p w:rsidR="005F5789" w:rsidRDefault="005F5789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</w:p>
        </w:tc>
        <w:tc>
          <w:tcPr>
            <w:tcW w:w="6663" w:type="dxa"/>
          </w:tcPr>
          <w:p w:rsidR="005F5789" w:rsidRDefault="00C61D4A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Mayor que 3% y menor o igual que 4%</w:t>
            </w:r>
          </w:p>
        </w:tc>
        <w:tc>
          <w:tcPr>
            <w:tcW w:w="1762" w:type="dxa"/>
          </w:tcPr>
          <w:p w:rsidR="005F5789" w:rsidRDefault="00C61D4A">
            <w:pPr>
              <w:spacing w:after="0" w:line="240" w:lineRule="auto"/>
              <w:jc w:val="center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22</w:t>
            </w:r>
          </w:p>
        </w:tc>
      </w:tr>
      <w:tr w:rsidR="005F5789">
        <w:tc>
          <w:tcPr>
            <w:tcW w:w="1204" w:type="dxa"/>
            <w:vMerge/>
          </w:tcPr>
          <w:p w:rsidR="005F5789" w:rsidRDefault="005F5789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</w:p>
        </w:tc>
        <w:tc>
          <w:tcPr>
            <w:tcW w:w="6663" w:type="dxa"/>
          </w:tcPr>
          <w:p w:rsidR="005F5789" w:rsidRDefault="00C61D4A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Mayor que 4% y menor o igual que 5%</w:t>
            </w:r>
          </w:p>
        </w:tc>
        <w:tc>
          <w:tcPr>
            <w:tcW w:w="1762" w:type="dxa"/>
          </w:tcPr>
          <w:p w:rsidR="005F5789" w:rsidRDefault="00C61D4A">
            <w:pPr>
              <w:spacing w:after="0" w:line="240" w:lineRule="auto"/>
              <w:jc w:val="center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27,5</w:t>
            </w:r>
          </w:p>
        </w:tc>
      </w:tr>
      <w:tr w:rsidR="005F5789">
        <w:tc>
          <w:tcPr>
            <w:tcW w:w="1204" w:type="dxa"/>
            <w:vMerge/>
          </w:tcPr>
          <w:p w:rsidR="005F5789" w:rsidRDefault="005F5789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</w:p>
        </w:tc>
        <w:tc>
          <w:tcPr>
            <w:tcW w:w="6663" w:type="dxa"/>
          </w:tcPr>
          <w:p w:rsidR="005F5789" w:rsidRDefault="00C61D4A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Mayor que 5% y menor o igual que 6%</w:t>
            </w:r>
          </w:p>
        </w:tc>
        <w:tc>
          <w:tcPr>
            <w:tcW w:w="1762" w:type="dxa"/>
          </w:tcPr>
          <w:p w:rsidR="005F5789" w:rsidRDefault="00C61D4A">
            <w:pPr>
              <w:spacing w:after="0" w:line="240" w:lineRule="auto"/>
              <w:jc w:val="center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33</w:t>
            </w:r>
          </w:p>
        </w:tc>
      </w:tr>
      <w:tr w:rsidR="005F5789">
        <w:tc>
          <w:tcPr>
            <w:tcW w:w="1204" w:type="dxa"/>
            <w:vMerge/>
          </w:tcPr>
          <w:p w:rsidR="005F5789" w:rsidRDefault="005F5789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</w:p>
        </w:tc>
        <w:tc>
          <w:tcPr>
            <w:tcW w:w="6663" w:type="dxa"/>
          </w:tcPr>
          <w:p w:rsidR="005F5789" w:rsidRDefault="00C61D4A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Mayor que 6% y menor o igual que 7%</w:t>
            </w:r>
          </w:p>
        </w:tc>
        <w:tc>
          <w:tcPr>
            <w:tcW w:w="1762" w:type="dxa"/>
          </w:tcPr>
          <w:p w:rsidR="005F5789" w:rsidRDefault="00C61D4A">
            <w:pPr>
              <w:spacing w:after="0" w:line="240" w:lineRule="auto"/>
              <w:jc w:val="center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38,5</w:t>
            </w:r>
          </w:p>
        </w:tc>
      </w:tr>
      <w:tr w:rsidR="005F5789">
        <w:tc>
          <w:tcPr>
            <w:tcW w:w="1204" w:type="dxa"/>
            <w:vMerge/>
          </w:tcPr>
          <w:p w:rsidR="005F5789" w:rsidRDefault="005F5789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</w:p>
        </w:tc>
        <w:tc>
          <w:tcPr>
            <w:tcW w:w="6663" w:type="dxa"/>
          </w:tcPr>
          <w:p w:rsidR="005F5789" w:rsidRDefault="00C61D4A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Mayor que 7% y menor o igual que 8%</w:t>
            </w:r>
          </w:p>
        </w:tc>
        <w:tc>
          <w:tcPr>
            <w:tcW w:w="1762" w:type="dxa"/>
          </w:tcPr>
          <w:p w:rsidR="005F5789" w:rsidRDefault="00C61D4A">
            <w:pPr>
              <w:spacing w:after="0" w:line="240" w:lineRule="auto"/>
              <w:jc w:val="center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44</w:t>
            </w:r>
          </w:p>
        </w:tc>
      </w:tr>
      <w:tr w:rsidR="005F5789">
        <w:tc>
          <w:tcPr>
            <w:tcW w:w="1204" w:type="dxa"/>
            <w:vMerge/>
          </w:tcPr>
          <w:p w:rsidR="005F5789" w:rsidRDefault="005F5789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</w:p>
        </w:tc>
        <w:tc>
          <w:tcPr>
            <w:tcW w:w="6663" w:type="dxa"/>
          </w:tcPr>
          <w:p w:rsidR="005F5789" w:rsidRDefault="00C61D4A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Mayor que 8% y menor o igual que 9%</w:t>
            </w:r>
          </w:p>
        </w:tc>
        <w:tc>
          <w:tcPr>
            <w:tcW w:w="1762" w:type="dxa"/>
          </w:tcPr>
          <w:p w:rsidR="005F5789" w:rsidRDefault="00C61D4A">
            <w:pPr>
              <w:spacing w:after="0" w:line="240" w:lineRule="auto"/>
              <w:jc w:val="center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49.5</w:t>
            </w:r>
          </w:p>
        </w:tc>
      </w:tr>
      <w:tr w:rsidR="005F5789">
        <w:tc>
          <w:tcPr>
            <w:tcW w:w="1204" w:type="dxa"/>
            <w:vMerge/>
          </w:tcPr>
          <w:p w:rsidR="005F5789" w:rsidRDefault="005F5789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</w:p>
        </w:tc>
        <w:tc>
          <w:tcPr>
            <w:tcW w:w="6663" w:type="dxa"/>
          </w:tcPr>
          <w:p w:rsidR="005F5789" w:rsidRDefault="00C61D4A">
            <w:pPr>
              <w:spacing w:after="0" w:line="240" w:lineRule="auto"/>
              <w:jc w:val="both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Mayor que 9% y menor o igual que 10%</w:t>
            </w:r>
          </w:p>
        </w:tc>
        <w:tc>
          <w:tcPr>
            <w:tcW w:w="1762" w:type="dxa"/>
          </w:tcPr>
          <w:p w:rsidR="005F5789" w:rsidRDefault="00C61D4A">
            <w:pPr>
              <w:spacing w:after="0" w:line="240" w:lineRule="auto"/>
              <w:jc w:val="center"/>
              <w:rPr>
                <w:rFonts w:ascii="Source Sans Pro" w:hAnsi="Source Sans Pro" w:cs="Tahoma"/>
                <w:sz w:val="21"/>
                <w:szCs w:val="21"/>
              </w:rPr>
            </w:pPr>
            <w:r>
              <w:rPr>
                <w:rFonts w:ascii="Source Sans Pro" w:eastAsia="Calibri" w:hAnsi="Source Sans Pro" w:cs="Tahoma"/>
                <w:sz w:val="21"/>
                <w:szCs w:val="21"/>
              </w:rPr>
              <w:t>55</w:t>
            </w:r>
          </w:p>
        </w:tc>
      </w:tr>
    </w:tbl>
    <w:p w:rsidR="005F5789" w:rsidRDefault="005F5789">
      <w:pPr>
        <w:ind w:left="-76"/>
        <w:jc w:val="both"/>
        <w:rPr>
          <w:rFonts w:ascii="Source Sans Pro" w:hAnsi="Source Sans Pro" w:cs="Tahoma"/>
          <w:sz w:val="21"/>
          <w:szCs w:val="21"/>
        </w:rPr>
      </w:pPr>
    </w:p>
    <w:p w:rsidR="005F5789" w:rsidRDefault="00C61D4A">
      <w:pPr>
        <w:ind w:left="-76"/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lastRenderedPageBreak/>
        <w:t>A partir de una reducción de 10,01%, se establece un tramo en el que podrán asignarse 5 puntos adicionales sobre los 55 obtenidos, mediante la siguiente fórmula:</w:t>
      </w:r>
    </w:p>
    <w:p w:rsidR="005F5789" w:rsidRDefault="00C61D4A">
      <w:pPr>
        <w:ind w:left="-76"/>
        <w:jc w:val="center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Mayor % de bajada= 60 puntos.</w:t>
      </w:r>
    </w:p>
    <w:p w:rsidR="005F5789" w:rsidRDefault="00C61D4A">
      <w:pPr>
        <w:ind w:left="-76"/>
        <w:jc w:val="center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Resto=55+(% bajada a valorar X 5 / mayor % de bajada).</w:t>
      </w:r>
    </w:p>
    <w:p w:rsidR="005F5789" w:rsidRDefault="00C61D4A">
      <w:pPr>
        <w:ind w:left="-76"/>
        <w:jc w:val="both"/>
        <w:rPr>
          <w:rFonts w:ascii="Source Sans Pro" w:hAnsi="Source Sans Pro" w:cs="Tahoma"/>
          <w:b/>
          <w:sz w:val="21"/>
          <w:szCs w:val="21"/>
        </w:rPr>
      </w:pPr>
      <w:r>
        <w:rPr>
          <w:rFonts w:ascii="Source Sans Pro" w:hAnsi="Source Sans Pro" w:cs="Tahoma"/>
          <w:b/>
          <w:sz w:val="21"/>
          <w:szCs w:val="21"/>
        </w:rPr>
        <w:t>2. EFICIENCIA DE LAVADO (20 puntos)</w:t>
      </w:r>
    </w:p>
    <w:p w:rsidR="005F5789" w:rsidRDefault="00C61D4A">
      <w:pPr>
        <w:ind w:left="-76"/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Se asignará el máximo valor a la oferta que mejor grado de eficiencia obtenga, entendiendo la misma como la oferta técnica de porcentaje de rechazo.</w:t>
      </w:r>
      <w:r w:rsidR="00EF16A4">
        <w:rPr>
          <w:rFonts w:ascii="Source Sans Pro" w:hAnsi="Source Sans Pro" w:cs="Tahoma"/>
          <w:sz w:val="21"/>
          <w:szCs w:val="21"/>
        </w:rPr>
        <w:t xml:space="preserve"> </w:t>
      </w:r>
      <w:r w:rsidR="00177B26" w:rsidRPr="00066906">
        <w:rPr>
          <w:rFonts w:ascii="Source Sans Pro" w:hAnsi="Source Sans Pro" w:cs="Tahoma"/>
          <w:sz w:val="21"/>
          <w:szCs w:val="21"/>
        </w:rPr>
        <w:t>Se entiende como rechazo a un determinado porcentaje de textil que, una vez procesado, se ha procesar por segunda vez, aplicando un programa especial, ya que el programa normal no lo dejó lo suficientemente limpio y en condiciones de ser entregado</w:t>
      </w:r>
    </w:p>
    <w:p w:rsidR="005F5789" w:rsidRDefault="00C61D4A">
      <w:pPr>
        <w:ind w:left="-76"/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El licitador deberá presentar un compromiso o declaración responsable de porcentaje óptimo de rechazo de su oferta, que se valorará de la siguiente forma:</w:t>
      </w:r>
    </w:p>
    <w:p w:rsidR="005F5789" w:rsidRDefault="00C61D4A">
      <w:pPr>
        <w:ind w:left="-76"/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Menor de un 2% de rechazo: 20 puntos</w:t>
      </w:r>
    </w:p>
    <w:p w:rsidR="005F5789" w:rsidRDefault="00FC70D8">
      <w:pPr>
        <w:ind w:left="-76"/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May</w:t>
      </w:r>
      <w:r w:rsidR="00C61D4A">
        <w:rPr>
          <w:rFonts w:ascii="Source Sans Pro" w:hAnsi="Source Sans Pro" w:cs="Tahoma"/>
          <w:sz w:val="21"/>
          <w:szCs w:val="21"/>
        </w:rPr>
        <w:t>or o igual que un 2% rechazo y menor o igual que un 2,90 % de rechazo: 10 puntos</w:t>
      </w:r>
    </w:p>
    <w:p w:rsidR="005F5789" w:rsidRDefault="00C61D4A">
      <w:pPr>
        <w:ind w:left="-76"/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Mayor que un 2,90 % de rechazo: 0 puntos</w:t>
      </w:r>
    </w:p>
    <w:p w:rsidR="005F5789" w:rsidRDefault="00C61D4A">
      <w:pPr>
        <w:ind w:left="-76"/>
        <w:jc w:val="both"/>
        <w:rPr>
          <w:rFonts w:ascii="Source Sans Pro" w:hAnsi="Source Sans Pro" w:cs="Tahoma"/>
          <w:b/>
          <w:sz w:val="21"/>
          <w:szCs w:val="21"/>
          <w:u w:val="single"/>
        </w:rPr>
      </w:pPr>
      <w:r>
        <w:rPr>
          <w:rFonts w:ascii="Source Sans Pro" w:hAnsi="Source Sans Pro" w:cs="Tahoma"/>
          <w:b/>
          <w:sz w:val="21"/>
          <w:szCs w:val="21"/>
          <w:u w:val="single"/>
        </w:rPr>
        <w:t>B) CRITERIOS DE VALORACIÓN NO AUTOMÁTICOS (20 PUNTOS)</w:t>
      </w:r>
    </w:p>
    <w:p w:rsidR="005F5789" w:rsidRDefault="00C61D4A">
      <w:pPr>
        <w:ind w:left="-76"/>
        <w:jc w:val="both"/>
        <w:rPr>
          <w:rFonts w:ascii="Source Sans Pro" w:hAnsi="Source Sans Pro" w:cs="Tahoma"/>
          <w:b/>
          <w:sz w:val="21"/>
          <w:szCs w:val="21"/>
        </w:rPr>
      </w:pPr>
      <w:r>
        <w:rPr>
          <w:rFonts w:ascii="Source Sans Pro" w:hAnsi="Source Sans Pro" w:cs="Tahoma"/>
          <w:b/>
          <w:sz w:val="21"/>
          <w:szCs w:val="21"/>
        </w:rPr>
        <w:t>3. VALORACIÓN FUNCIONAL DE LA OFERTA (20 puntos)</w:t>
      </w:r>
    </w:p>
    <w:p w:rsidR="005F5789" w:rsidRDefault="00C61D4A">
      <w:pPr>
        <w:ind w:left="-76"/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El proveedor debe presentar un programa de trabajo. La valoración funcional de la oferta</w:t>
      </w:r>
    </w:p>
    <w:p w:rsidR="005F5789" w:rsidRDefault="00C61D4A">
      <w:pPr>
        <w:ind w:left="-76"/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contempla la de estos tres parámetros:</w:t>
      </w:r>
    </w:p>
    <w:p w:rsidR="005F5789" w:rsidRDefault="00C61D4A">
      <w:pPr>
        <w:ind w:left="708"/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3.1. Productos empleados</w:t>
      </w:r>
    </w:p>
    <w:p w:rsidR="005F5789" w:rsidRDefault="00C61D4A">
      <w:pPr>
        <w:ind w:left="708"/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3.2. Procesos de lavado</w:t>
      </w:r>
    </w:p>
    <w:p w:rsidR="005F5789" w:rsidRDefault="00C61D4A">
      <w:pPr>
        <w:ind w:left="708"/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3.3. Estación de descarga, almacenamiento y dosificación</w:t>
      </w:r>
    </w:p>
    <w:p w:rsidR="005F5789" w:rsidRDefault="00C61D4A">
      <w:pPr>
        <w:ind w:left="-76"/>
        <w:jc w:val="both"/>
        <w:rPr>
          <w:rFonts w:ascii="Source Sans Pro" w:hAnsi="Source Sans Pro" w:cs="Tahoma"/>
          <w:b/>
          <w:sz w:val="21"/>
          <w:szCs w:val="21"/>
        </w:rPr>
      </w:pPr>
      <w:r>
        <w:rPr>
          <w:rFonts w:ascii="Source Sans Pro" w:hAnsi="Source Sans Pro" w:cs="Tahoma"/>
          <w:b/>
          <w:sz w:val="21"/>
          <w:szCs w:val="21"/>
        </w:rPr>
        <w:t>3.1. - Productos empleados:</w:t>
      </w:r>
    </w:p>
    <w:p w:rsidR="005F5789" w:rsidRDefault="00C61D4A">
      <w:pPr>
        <w:ind w:left="-76"/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La valoración de los productos se efectuará en base a la documentación técnica y las muestras aportadas por los licitadores. La valoración funcional del producto será en base a:</w:t>
      </w:r>
    </w:p>
    <w:p w:rsidR="005F5789" w:rsidRDefault="00C61D4A">
      <w:pPr>
        <w:pStyle w:val="Prrafodelista"/>
        <w:numPr>
          <w:ilvl w:val="0"/>
          <w:numId w:val="1"/>
        </w:numPr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Facilidad de utilización</w:t>
      </w:r>
    </w:p>
    <w:p w:rsidR="005F5789" w:rsidRDefault="00C61D4A">
      <w:pPr>
        <w:pStyle w:val="Prrafodelista"/>
        <w:numPr>
          <w:ilvl w:val="0"/>
          <w:numId w:val="1"/>
        </w:numPr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Seguridad de resultados</w:t>
      </w:r>
    </w:p>
    <w:p w:rsidR="005F5789" w:rsidRDefault="00C61D4A">
      <w:pPr>
        <w:pStyle w:val="Prrafodelista"/>
        <w:numPr>
          <w:ilvl w:val="0"/>
          <w:numId w:val="1"/>
        </w:numPr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Compatibilidad entre los productos para su utilización y aplicación.</w:t>
      </w:r>
    </w:p>
    <w:p w:rsidR="005F5789" w:rsidRDefault="00C61D4A">
      <w:pPr>
        <w:ind w:left="-76"/>
        <w:jc w:val="both"/>
        <w:rPr>
          <w:rFonts w:ascii="Source Sans Pro" w:hAnsi="Source Sans Pro" w:cs="Tahoma"/>
          <w:b/>
          <w:sz w:val="21"/>
          <w:szCs w:val="21"/>
        </w:rPr>
      </w:pPr>
      <w:r>
        <w:rPr>
          <w:rFonts w:ascii="Source Sans Pro" w:hAnsi="Source Sans Pro" w:cs="Tahoma"/>
          <w:b/>
          <w:sz w:val="21"/>
          <w:szCs w:val="21"/>
        </w:rPr>
        <w:t>3.2. - Procesos de lavado:</w:t>
      </w:r>
    </w:p>
    <w:p w:rsidR="005F5789" w:rsidRDefault="00C61D4A">
      <w:pPr>
        <w:ind w:left="-76"/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Se especificarán y diseñarán los procesos de lavado más idóneos para las necesidades de producción previstas, valorándose los siguientes parámetros:</w:t>
      </w:r>
    </w:p>
    <w:p w:rsidR="005F5789" w:rsidRDefault="00C61D4A">
      <w:pPr>
        <w:pStyle w:val="Prrafodelista"/>
        <w:numPr>
          <w:ilvl w:val="0"/>
          <w:numId w:val="1"/>
        </w:numPr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Productos empleados, dosificación exacta de los mismos en cada fase de lavado.</w:t>
      </w:r>
    </w:p>
    <w:p w:rsidR="005F5789" w:rsidRDefault="00C61D4A">
      <w:pPr>
        <w:pStyle w:val="Prrafodelista"/>
        <w:numPr>
          <w:ilvl w:val="0"/>
          <w:numId w:val="1"/>
        </w:numPr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Tiempo</w:t>
      </w:r>
    </w:p>
    <w:p w:rsidR="005F5789" w:rsidRDefault="00C61D4A">
      <w:pPr>
        <w:pStyle w:val="Prrafodelista"/>
        <w:numPr>
          <w:ilvl w:val="0"/>
          <w:numId w:val="1"/>
        </w:numPr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lastRenderedPageBreak/>
        <w:t>Consumo de agua por kilogramo de ropa lavada</w:t>
      </w:r>
    </w:p>
    <w:p w:rsidR="005F5789" w:rsidRDefault="00C61D4A">
      <w:pPr>
        <w:pStyle w:val="Prrafodelista"/>
        <w:numPr>
          <w:ilvl w:val="0"/>
          <w:numId w:val="1"/>
        </w:numPr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Temperatura de lavado</w:t>
      </w:r>
    </w:p>
    <w:p w:rsidR="005F5789" w:rsidRDefault="00C61D4A">
      <w:pPr>
        <w:pStyle w:val="Prrafodelista"/>
        <w:numPr>
          <w:ilvl w:val="0"/>
          <w:numId w:val="1"/>
        </w:numPr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PH y temperatura de los efluentes</w:t>
      </w:r>
    </w:p>
    <w:p w:rsidR="005F5789" w:rsidRDefault="00C61D4A">
      <w:pPr>
        <w:pStyle w:val="Prrafodelista"/>
        <w:numPr>
          <w:ilvl w:val="0"/>
          <w:numId w:val="1"/>
        </w:numPr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Cualquier otra información adicional.</w:t>
      </w:r>
    </w:p>
    <w:p w:rsidR="005F5789" w:rsidRDefault="00C61D4A">
      <w:pPr>
        <w:ind w:left="-76"/>
        <w:jc w:val="both"/>
        <w:rPr>
          <w:rFonts w:ascii="Source Sans Pro" w:hAnsi="Source Sans Pro" w:cs="Tahoma"/>
          <w:b/>
          <w:sz w:val="21"/>
          <w:szCs w:val="21"/>
        </w:rPr>
      </w:pPr>
      <w:r>
        <w:rPr>
          <w:rFonts w:ascii="Source Sans Pro" w:hAnsi="Source Sans Pro" w:cs="Tahoma"/>
          <w:b/>
          <w:sz w:val="21"/>
          <w:szCs w:val="21"/>
        </w:rPr>
        <w:t>3.3. - Estación de descarga, almacenamiento y dosificación:</w:t>
      </w:r>
    </w:p>
    <w:p w:rsidR="005F5789" w:rsidRDefault="00C61D4A">
      <w:pPr>
        <w:ind w:left="-76"/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 xml:space="preserve">- Se valorará el proyecto de instalación de los elementos de recepción, almacenamiento, dosificación y material adicional necesario para el suministro automático de los diferentes productos a los equipos de lavado que se adapten a las actuales condiciones de espacio y ubicación de la zona de almacenamiento de </w:t>
      </w:r>
      <w:r w:rsidRPr="00066906">
        <w:rPr>
          <w:rFonts w:ascii="Source Sans Pro" w:hAnsi="Source Sans Pro" w:cs="Tahoma"/>
          <w:sz w:val="21"/>
          <w:szCs w:val="21"/>
        </w:rPr>
        <w:t>productos</w:t>
      </w:r>
      <w:r w:rsidR="00372EE4" w:rsidRPr="00066906">
        <w:rPr>
          <w:rFonts w:ascii="Source Sans Pro" w:hAnsi="Source Sans Pro" w:cs="Tahoma"/>
          <w:sz w:val="21"/>
          <w:szCs w:val="21"/>
        </w:rPr>
        <w:t>, se</w:t>
      </w:r>
      <w:r w:rsidR="0085337C" w:rsidRPr="00066906">
        <w:rPr>
          <w:rFonts w:ascii="Source Sans Pro" w:hAnsi="Source Sans Pro" w:cs="Tahoma"/>
          <w:sz w:val="21"/>
          <w:szCs w:val="21"/>
        </w:rPr>
        <w:t xml:space="preserve"> valoran</w:t>
      </w:r>
      <w:r w:rsidR="00372EE4" w:rsidRPr="00066906">
        <w:rPr>
          <w:rFonts w:ascii="Source Sans Pro" w:hAnsi="Source Sans Pro" w:cs="Tahoma"/>
          <w:sz w:val="21"/>
          <w:szCs w:val="21"/>
        </w:rPr>
        <w:t xml:space="preserve"> en especial facilidad de uso, la calidad de los materiales empleados, y la capacidad de almacenamiento</w:t>
      </w:r>
      <w:r w:rsidRPr="00066906">
        <w:rPr>
          <w:rFonts w:ascii="Source Sans Pro" w:hAnsi="Source Sans Pro" w:cs="Tahoma"/>
          <w:sz w:val="21"/>
          <w:szCs w:val="21"/>
        </w:rPr>
        <w:t>.</w:t>
      </w:r>
    </w:p>
    <w:p w:rsidR="005F5789" w:rsidRDefault="00C61D4A">
      <w:pPr>
        <w:ind w:left="-76"/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- Se valorará el plan de mantenimiento preventivo y correctivo previsto, así como el tiempo de respuesta en incidencias, averías, derrames o cualquier otra que pudiera repercutir en el funcionamiento de la central dosificadora.</w:t>
      </w:r>
    </w:p>
    <w:p w:rsidR="005F5789" w:rsidRPr="00066906" w:rsidRDefault="00C61D4A">
      <w:pPr>
        <w:ind w:left="-76"/>
        <w:jc w:val="both"/>
        <w:rPr>
          <w:rFonts w:ascii="Source Sans Pro" w:hAnsi="Source Sans Pro" w:cs="Tahoma"/>
          <w:sz w:val="21"/>
          <w:szCs w:val="21"/>
        </w:rPr>
      </w:pPr>
      <w:r w:rsidRPr="00066906">
        <w:rPr>
          <w:rFonts w:ascii="Source Sans Pro" w:hAnsi="Source Sans Pro" w:cs="Tahoma"/>
          <w:sz w:val="21"/>
          <w:szCs w:val="21"/>
        </w:rPr>
        <w:t>E</w:t>
      </w:r>
      <w:r w:rsidR="0085337C" w:rsidRPr="00066906">
        <w:rPr>
          <w:rFonts w:ascii="Source Sans Pro" w:hAnsi="Source Sans Pro" w:cs="Tahoma"/>
          <w:sz w:val="21"/>
          <w:szCs w:val="21"/>
        </w:rPr>
        <w:t xml:space="preserve">n cada uno de estos </w:t>
      </w:r>
      <w:r w:rsidRPr="00066906">
        <w:rPr>
          <w:rFonts w:ascii="Source Sans Pro" w:hAnsi="Source Sans Pro" w:cs="Tahoma"/>
          <w:sz w:val="21"/>
          <w:szCs w:val="21"/>
        </w:rPr>
        <w:t xml:space="preserve">parámetros se valorarán </w:t>
      </w:r>
      <w:proofErr w:type="gramStart"/>
      <w:r w:rsidRPr="00066906">
        <w:rPr>
          <w:rFonts w:ascii="Source Sans Pro" w:hAnsi="Source Sans Pro" w:cs="Tahoma"/>
          <w:sz w:val="21"/>
          <w:szCs w:val="21"/>
        </w:rPr>
        <w:t>de acuerdo a</w:t>
      </w:r>
      <w:proofErr w:type="gramEnd"/>
      <w:r w:rsidRPr="00066906">
        <w:rPr>
          <w:rFonts w:ascii="Source Sans Pro" w:hAnsi="Source Sans Pro" w:cs="Tahoma"/>
          <w:sz w:val="21"/>
          <w:szCs w:val="21"/>
        </w:rPr>
        <w:t xml:space="preserve"> la siguiente escala:</w:t>
      </w:r>
    </w:p>
    <w:p w:rsidR="005F5789" w:rsidRPr="00066906" w:rsidRDefault="00C61D4A">
      <w:pPr>
        <w:pStyle w:val="Prrafodelista"/>
        <w:numPr>
          <w:ilvl w:val="0"/>
          <w:numId w:val="1"/>
        </w:numPr>
        <w:jc w:val="both"/>
        <w:rPr>
          <w:rFonts w:ascii="Source Sans Pro" w:hAnsi="Source Sans Pro" w:cs="Tahoma"/>
          <w:sz w:val="21"/>
          <w:szCs w:val="21"/>
        </w:rPr>
      </w:pPr>
      <w:r w:rsidRPr="00066906">
        <w:rPr>
          <w:rFonts w:ascii="Source Sans Pro" w:hAnsi="Source Sans Pro" w:cs="Tahoma"/>
          <w:sz w:val="21"/>
          <w:szCs w:val="21"/>
        </w:rPr>
        <w:t>MUY BUENOS: 20 puntos</w:t>
      </w:r>
      <w:r w:rsidR="00372EE4" w:rsidRPr="00066906">
        <w:rPr>
          <w:rFonts w:ascii="Source Sans Pro" w:hAnsi="Source Sans Pro" w:cs="Tahoma"/>
          <w:sz w:val="21"/>
          <w:szCs w:val="21"/>
        </w:rPr>
        <w:t>. Aporta las mejoras</w:t>
      </w:r>
      <w:r w:rsidR="0085337C" w:rsidRPr="00066906">
        <w:rPr>
          <w:rFonts w:ascii="Source Sans Pro" w:hAnsi="Source Sans Pro" w:cs="Tahoma"/>
          <w:sz w:val="21"/>
          <w:szCs w:val="21"/>
        </w:rPr>
        <w:t xml:space="preserve"> más relevantes</w:t>
      </w:r>
      <w:r w:rsidR="00372EE4" w:rsidRPr="00066906">
        <w:rPr>
          <w:rFonts w:ascii="Source Sans Pro" w:hAnsi="Source Sans Pro" w:cs="Tahoma"/>
          <w:sz w:val="21"/>
          <w:szCs w:val="21"/>
        </w:rPr>
        <w:t>.</w:t>
      </w:r>
    </w:p>
    <w:p w:rsidR="005F5789" w:rsidRPr="00066906" w:rsidRDefault="00C61D4A">
      <w:pPr>
        <w:pStyle w:val="Prrafodelista"/>
        <w:numPr>
          <w:ilvl w:val="0"/>
          <w:numId w:val="1"/>
        </w:numPr>
        <w:jc w:val="both"/>
        <w:rPr>
          <w:rFonts w:ascii="Source Sans Pro" w:hAnsi="Source Sans Pro" w:cs="Tahoma"/>
          <w:sz w:val="21"/>
          <w:szCs w:val="21"/>
        </w:rPr>
      </w:pPr>
      <w:r w:rsidRPr="00066906">
        <w:rPr>
          <w:rFonts w:ascii="Source Sans Pro" w:hAnsi="Source Sans Pro" w:cs="Tahoma"/>
          <w:sz w:val="21"/>
          <w:szCs w:val="21"/>
        </w:rPr>
        <w:t>BUENOS: 14 puntos</w:t>
      </w:r>
      <w:r w:rsidR="00372EE4" w:rsidRPr="00066906">
        <w:rPr>
          <w:rFonts w:ascii="Source Sans Pro" w:hAnsi="Source Sans Pro" w:cs="Tahoma"/>
          <w:sz w:val="21"/>
          <w:szCs w:val="21"/>
        </w:rPr>
        <w:t>. Aporta mejoras significativas</w:t>
      </w:r>
    </w:p>
    <w:p w:rsidR="005F5789" w:rsidRPr="00066906" w:rsidRDefault="00C61D4A">
      <w:pPr>
        <w:pStyle w:val="Prrafodelista"/>
        <w:numPr>
          <w:ilvl w:val="0"/>
          <w:numId w:val="1"/>
        </w:numPr>
        <w:jc w:val="both"/>
        <w:rPr>
          <w:rFonts w:ascii="Source Sans Pro" w:hAnsi="Source Sans Pro" w:cs="Tahoma"/>
          <w:sz w:val="21"/>
          <w:szCs w:val="21"/>
        </w:rPr>
      </w:pPr>
      <w:r w:rsidRPr="00066906">
        <w:rPr>
          <w:rFonts w:ascii="Source Sans Pro" w:hAnsi="Source Sans Pro" w:cs="Tahoma"/>
          <w:sz w:val="21"/>
          <w:szCs w:val="21"/>
        </w:rPr>
        <w:t>APTOS: 8 puntos</w:t>
      </w:r>
      <w:r w:rsidR="00372EE4" w:rsidRPr="00066906">
        <w:rPr>
          <w:rFonts w:ascii="Source Sans Pro" w:hAnsi="Source Sans Pro" w:cs="Tahoma"/>
          <w:sz w:val="21"/>
          <w:szCs w:val="21"/>
        </w:rPr>
        <w:t>. Aporta mejoras no significativas</w:t>
      </w:r>
    </w:p>
    <w:p w:rsidR="005F5789" w:rsidRPr="00066906" w:rsidRDefault="00C61D4A">
      <w:pPr>
        <w:pStyle w:val="Prrafodelista"/>
        <w:numPr>
          <w:ilvl w:val="0"/>
          <w:numId w:val="1"/>
        </w:numPr>
        <w:jc w:val="both"/>
        <w:rPr>
          <w:rFonts w:ascii="Source Sans Pro" w:hAnsi="Source Sans Pro" w:cs="Tahoma"/>
          <w:sz w:val="21"/>
          <w:szCs w:val="21"/>
        </w:rPr>
      </w:pPr>
      <w:r w:rsidRPr="00066906">
        <w:rPr>
          <w:rFonts w:ascii="Source Sans Pro" w:hAnsi="Source Sans Pro" w:cs="Tahoma"/>
          <w:sz w:val="21"/>
          <w:szCs w:val="21"/>
        </w:rPr>
        <w:t>INADECUADA O INSUFICIENTE: 0 puntos</w:t>
      </w:r>
      <w:r w:rsidR="00372EE4" w:rsidRPr="00066906">
        <w:rPr>
          <w:rFonts w:ascii="Source Sans Pro" w:hAnsi="Source Sans Pro" w:cs="Tahoma"/>
          <w:sz w:val="21"/>
          <w:szCs w:val="21"/>
        </w:rPr>
        <w:t>. N</w:t>
      </w:r>
      <w:r w:rsidR="0085337C" w:rsidRPr="00066906">
        <w:rPr>
          <w:rFonts w:ascii="Source Sans Pro" w:hAnsi="Source Sans Pro" w:cs="Tahoma"/>
          <w:sz w:val="21"/>
          <w:szCs w:val="21"/>
        </w:rPr>
        <w:t>o aporta</w:t>
      </w:r>
      <w:r w:rsidR="00372EE4" w:rsidRPr="00066906">
        <w:rPr>
          <w:rFonts w:ascii="Source Sans Pro" w:hAnsi="Source Sans Pro" w:cs="Tahoma"/>
          <w:sz w:val="21"/>
          <w:szCs w:val="21"/>
        </w:rPr>
        <w:t xml:space="preserve"> mejoras</w:t>
      </w:r>
    </w:p>
    <w:p w:rsidR="005F5789" w:rsidRDefault="00C61D4A">
      <w:pPr>
        <w:ind w:left="-76"/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*La puntuación final de este apartado será la media de las calificaciones de los tres parámetros anteriores</w:t>
      </w:r>
      <w:r w:rsidR="0085337C">
        <w:rPr>
          <w:rFonts w:ascii="Source Sans Pro" w:hAnsi="Source Sans Pro" w:cs="Tahoma"/>
          <w:sz w:val="21"/>
          <w:szCs w:val="21"/>
        </w:rPr>
        <w:t>.</w:t>
      </w:r>
    </w:p>
    <w:p w:rsidR="005F5789" w:rsidRDefault="00C61D4A">
      <w:pPr>
        <w:ind w:left="-76"/>
        <w:jc w:val="both"/>
        <w:rPr>
          <w:rFonts w:ascii="Source Sans Pro" w:hAnsi="Source Sans Pro" w:cs="Tahoma"/>
          <w:b/>
          <w:sz w:val="21"/>
          <w:szCs w:val="21"/>
        </w:rPr>
      </w:pPr>
      <w:r>
        <w:rPr>
          <w:rFonts w:ascii="Source Sans Pro" w:hAnsi="Source Sans Pro" w:cs="Tahoma"/>
          <w:b/>
          <w:sz w:val="21"/>
          <w:szCs w:val="21"/>
        </w:rPr>
        <w:t xml:space="preserve">UMBRAL MINIMO </w:t>
      </w:r>
      <w:r w:rsidRPr="00066906">
        <w:rPr>
          <w:rFonts w:ascii="Source Sans Pro" w:hAnsi="Source Sans Pro" w:cs="Tahoma"/>
          <w:b/>
          <w:sz w:val="21"/>
          <w:szCs w:val="21"/>
        </w:rPr>
        <w:t>APLICABLE: 10 PUNTOS</w:t>
      </w:r>
      <w:bookmarkStart w:id="1" w:name="_GoBack"/>
      <w:bookmarkEnd w:id="1"/>
      <w:r>
        <w:rPr>
          <w:rFonts w:ascii="Source Sans Pro" w:hAnsi="Source Sans Pro" w:cs="Tahoma"/>
          <w:b/>
          <w:sz w:val="21"/>
          <w:szCs w:val="21"/>
        </w:rPr>
        <w:t xml:space="preserve"> </w:t>
      </w:r>
    </w:p>
    <w:p w:rsidR="005F5789" w:rsidRDefault="00C61D4A">
      <w:pPr>
        <w:ind w:left="-76"/>
        <w:jc w:val="both"/>
        <w:rPr>
          <w:rFonts w:ascii="Source Sans Pro" w:hAnsi="Source Sans Pro" w:cs="Tahoma"/>
          <w:sz w:val="21"/>
          <w:szCs w:val="21"/>
        </w:rPr>
      </w:pPr>
      <w:r>
        <w:rPr>
          <w:rFonts w:ascii="Source Sans Pro" w:hAnsi="Source Sans Pro" w:cs="Tahoma"/>
          <w:sz w:val="21"/>
          <w:szCs w:val="21"/>
        </w:rPr>
        <w:t>Los criterios que servirán de base para la adjudicación del contrato se justifican dado que repercuten en la mejor relación calidad-precio en la selección de la mejor oferta.</w:t>
      </w:r>
    </w:p>
    <w:p w:rsidR="005F5789" w:rsidRDefault="005F5789">
      <w:pPr>
        <w:ind w:left="-76"/>
        <w:jc w:val="both"/>
        <w:rPr>
          <w:rFonts w:ascii="Source Sans Pro" w:hAnsi="Source Sans Pro" w:cs="Tahoma"/>
          <w:sz w:val="21"/>
          <w:szCs w:val="21"/>
        </w:rPr>
      </w:pPr>
    </w:p>
    <w:sectPr w:rsidR="005F5789">
      <w:headerReference w:type="default" r:id="rId7"/>
      <w:footerReference w:type="default" r:id="rId8"/>
      <w:pgSz w:w="11906" w:h="16838"/>
      <w:pgMar w:top="2127" w:right="1133" w:bottom="1417" w:left="1134" w:header="2065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06D7" w:rsidRDefault="00C61D4A">
      <w:pPr>
        <w:spacing w:after="0" w:line="240" w:lineRule="auto"/>
      </w:pPr>
      <w:r>
        <w:separator/>
      </w:r>
    </w:p>
  </w:endnote>
  <w:endnote w:type="continuationSeparator" w:id="0">
    <w:p w:rsidR="006106D7" w:rsidRDefault="00C61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roman"/>
    <w:pitch w:val="variable"/>
  </w:font>
  <w:font w:name="News Got T">
    <w:altName w:val="Cambria"/>
    <w:charset w:val="00"/>
    <w:family w:val="roman"/>
    <w:pitch w:val="variable"/>
  </w:font>
  <w:font w:name="Noto Sans HK">
    <w:panose1 w:val="020B0500000000000000"/>
    <w:charset w:val="00"/>
    <w:family w:val="roman"/>
    <w:notTrueType/>
    <w:pitch w:val="default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Noto Sans HK Medium">
    <w:panose1 w:val="020B0600000000000000"/>
    <w:charset w:val="00"/>
    <w:family w:val="roman"/>
    <w:notTrueType/>
    <w:pitch w:val="default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5789" w:rsidRDefault="005F5789">
    <w:pPr>
      <w:pStyle w:val="Piedepgina"/>
      <w:rPr>
        <w:rFonts w:ascii="Tahoma" w:hAnsi="Tahoma" w:cs="Tahoma"/>
        <w:sz w:val="16"/>
        <w:szCs w:val="16"/>
      </w:rPr>
    </w:pPr>
  </w:p>
  <w:p w:rsidR="005F5789" w:rsidRDefault="00C61D4A">
    <w:pPr>
      <w:pStyle w:val="Piedepgina"/>
      <w:rPr>
        <w:rFonts w:ascii="Source Sans Pro" w:hAnsi="Source Sans Pro" w:cs="Tahoma"/>
        <w:sz w:val="16"/>
        <w:szCs w:val="16"/>
      </w:rPr>
    </w:pPr>
    <w:r>
      <w:rPr>
        <w:rFonts w:ascii="Source Sans Pro" w:hAnsi="Source Sans Pro" w:cs="Tahoma"/>
        <w:sz w:val="16"/>
        <w:szCs w:val="16"/>
      </w:rPr>
      <w:t>Central Provincial de Compras de Sevilla</w:t>
    </w:r>
  </w:p>
  <w:p w:rsidR="005F5789" w:rsidRDefault="00C61D4A">
    <w:pPr>
      <w:pStyle w:val="Piedepgina"/>
      <w:rPr>
        <w:rFonts w:ascii="Source Sans Pro" w:hAnsi="Source Sans Pro" w:cs="Tahoma"/>
        <w:sz w:val="16"/>
        <w:szCs w:val="16"/>
      </w:rPr>
    </w:pPr>
    <w:r>
      <w:rPr>
        <w:rFonts w:ascii="Source Sans Pro" w:hAnsi="Source Sans Pro" w:cs="Tahoma"/>
        <w:sz w:val="16"/>
        <w:szCs w:val="16"/>
      </w:rPr>
      <w:t>Hospital Universitario Virgen del Rocío</w:t>
    </w:r>
  </w:p>
  <w:p w:rsidR="005F5789" w:rsidRDefault="00C61D4A">
    <w:pPr>
      <w:pStyle w:val="Piedepgina"/>
      <w:rPr>
        <w:rFonts w:ascii="Source Sans Pro" w:hAnsi="Source Sans Pro" w:cs="Tahoma"/>
        <w:sz w:val="16"/>
        <w:szCs w:val="16"/>
      </w:rPr>
    </w:pPr>
    <w:r>
      <w:rPr>
        <w:rFonts w:ascii="Source Sans Pro" w:hAnsi="Source Sans Pro" w:cs="Tahoma"/>
        <w:sz w:val="16"/>
        <w:szCs w:val="16"/>
      </w:rPr>
      <w:t xml:space="preserve">Av. Manuel </w:t>
    </w:r>
    <w:proofErr w:type="spellStart"/>
    <w:r>
      <w:rPr>
        <w:rFonts w:ascii="Source Sans Pro" w:hAnsi="Source Sans Pro" w:cs="Tahoma"/>
        <w:sz w:val="16"/>
        <w:szCs w:val="16"/>
      </w:rPr>
      <w:t>Siurot</w:t>
    </w:r>
    <w:proofErr w:type="spellEnd"/>
    <w:r>
      <w:rPr>
        <w:rFonts w:ascii="Source Sans Pro" w:hAnsi="Source Sans Pro" w:cs="Tahoma"/>
        <w:sz w:val="16"/>
        <w:szCs w:val="16"/>
      </w:rPr>
      <w:t xml:space="preserve"> s/n, 41013 - Sevilla</w:t>
    </w:r>
  </w:p>
  <w:p w:rsidR="005F5789" w:rsidRDefault="00C61D4A">
    <w:pPr>
      <w:pStyle w:val="Piedepgina"/>
      <w:jc w:val="right"/>
      <w:rPr>
        <w:rFonts w:ascii="Source Sans Pro" w:hAnsi="Source Sans Pro"/>
        <w:sz w:val="16"/>
        <w:szCs w:val="16"/>
      </w:rPr>
    </w:pPr>
    <w:r>
      <w:rPr>
        <w:rFonts w:ascii="Source Sans Pro" w:hAnsi="Source Sans Pro"/>
        <w:sz w:val="16"/>
        <w:szCs w:val="16"/>
      </w:rPr>
      <w:t xml:space="preserve">Página </w:t>
    </w:r>
    <w:r>
      <w:rPr>
        <w:rFonts w:ascii="Source Sans Pro" w:hAnsi="Source Sans Pro"/>
        <w:bCs/>
        <w:sz w:val="16"/>
        <w:szCs w:val="16"/>
      </w:rPr>
      <w:fldChar w:fldCharType="begin"/>
    </w:r>
    <w:r>
      <w:rPr>
        <w:rFonts w:ascii="Source Sans Pro" w:hAnsi="Source Sans Pro"/>
        <w:bCs/>
        <w:sz w:val="16"/>
        <w:szCs w:val="16"/>
      </w:rPr>
      <w:instrText xml:space="preserve"> PAGE \* ARABIC </w:instrText>
    </w:r>
    <w:r>
      <w:rPr>
        <w:rFonts w:ascii="Source Sans Pro" w:hAnsi="Source Sans Pro"/>
        <w:bCs/>
        <w:sz w:val="16"/>
        <w:szCs w:val="16"/>
      </w:rPr>
      <w:fldChar w:fldCharType="separate"/>
    </w:r>
    <w:r w:rsidR="00066906">
      <w:rPr>
        <w:rFonts w:ascii="Source Sans Pro" w:hAnsi="Source Sans Pro"/>
        <w:bCs/>
        <w:noProof/>
        <w:sz w:val="16"/>
        <w:szCs w:val="16"/>
      </w:rPr>
      <w:t>3</w:t>
    </w:r>
    <w:r>
      <w:rPr>
        <w:rFonts w:ascii="Source Sans Pro" w:hAnsi="Source Sans Pro"/>
        <w:bCs/>
        <w:sz w:val="16"/>
        <w:szCs w:val="16"/>
      </w:rPr>
      <w:fldChar w:fldCharType="end"/>
    </w:r>
    <w:r>
      <w:rPr>
        <w:rFonts w:ascii="Source Sans Pro" w:hAnsi="Source Sans Pro"/>
        <w:sz w:val="16"/>
        <w:szCs w:val="16"/>
      </w:rPr>
      <w:t xml:space="preserve"> de </w:t>
    </w:r>
    <w:r>
      <w:rPr>
        <w:rFonts w:ascii="Source Sans Pro" w:hAnsi="Source Sans Pro"/>
        <w:bCs/>
        <w:sz w:val="16"/>
        <w:szCs w:val="16"/>
      </w:rPr>
      <w:fldChar w:fldCharType="begin"/>
    </w:r>
    <w:r>
      <w:rPr>
        <w:rFonts w:ascii="Source Sans Pro" w:hAnsi="Source Sans Pro"/>
        <w:bCs/>
        <w:sz w:val="16"/>
        <w:szCs w:val="16"/>
      </w:rPr>
      <w:instrText xml:space="preserve"> NUMPAGES \* ARABIC </w:instrText>
    </w:r>
    <w:r>
      <w:rPr>
        <w:rFonts w:ascii="Source Sans Pro" w:hAnsi="Source Sans Pro"/>
        <w:bCs/>
        <w:sz w:val="16"/>
        <w:szCs w:val="16"/>
      </w:rPr>
      <w:fldChar w:fldCharType="separate"/>
    </w:r>
    <w:r w:rsidR="00066906">
      <w:rPr>
        <w:rFonts w:ascii="Source Sans Pro" w:hAnsi="Source Sans Pro"/>
        <w:bCs/>
        <w:noProof/>
        <w:sz w:val="16"/>
        <w:szCs w:val="16"/>
      </w:rPr>
      <w:t>3</w:t>
    </w:r>
    <w:r>
      <w:rPr>
        <w:rFonts w:ascii="Source Sans Pro" w:hAnsi="Source Sans Pro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06D7" w:rsidRDefault="00C61D4A">
      <w:pPr>
        <w:spacing w:after="0" w:line="240" w:lineRule="auto"/>
      </w:pPr>
      <w:r>
        <w:separator/>
      </w:r>
    </w:p>
  </w:footnote>
  <w:footnote w:type="continuationSeparator" w:id="0">
    <w:p w:rsidR="006106D7" w:rsidRDefault="00C61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5789" w:rsidRDefault="00C61D4A">
    <w:pPr>
      <w:pStyle w:val="Textoindependiente"/>
      <w:spacing w:line="12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4" behindDoc="0" locked="0" layoutInCell="0" allowOverlap="1">
          <wp:simplePos x="0" y="0"/>
          <wp:positionH relativeFrom="margin">
            <wp:posOffset>83820</wp:posOffset>
          </wp:positionH>
          <wp:positionV relativeFrom="page">
            <wp:posOffset>491490</wp:posOffset>
          </wp:positionV>
          <wp:extent cx="1207770" cy="683895"/>
          <wp:effectExtent l="0" t="0" r="0" b="0"/>
          <wp:wrapThrough wrapText="bothSides">
            <wp:wrapPolygon edited="0">
              <wp:start x="9191" y="0"/>
              <wp:lineTo x="6464" y="9621"/>
              <wp:lineTo x="673" y="17435"/>
              <wp:lineTo x="-8" y="19243"/>
              <wp:lineTo x="-8" y="21051"/>
              <wp:lineTo x="21118" y="21051"/>
              <wp:lineTo x="21118" y="18641"/>
              <wp:lineTo x="18053" y="13830"/>
              <wp:lineTo x="14644" y="9621"/>
              <wp:lineTo x="12600" y="0"/>
              <wp:lineTo x="9191" y="0"/>
            </wp:wrapPolygon>
          </wp:wrapThrough>
          <wp:docPr id="1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aceholde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07770" cy="683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363220" distL="114300" distR="123190" simplePos="0" relativeHeight="9" behindDoc="1" locked="0" layoutInCell="0" allowOverlap="1" wp14:anchorId="54A65E7C">
              <wp:simplePos x="0" y="0"/>
              <wp:positionH relativeFrom="column">
                <wp:posOffset>4351020</wp:posOffset>
              </wp:positionH>
              <wp:positionV relativeFrom="page">
                <wp:posOffset>901700</wp:posOffset>
              </wp:positionV>
              <wp:extent cx="1610360" cy="320675"/>
              <wp:effectExtent l="0" t="635" r="0" b="0"/>
              <wp:wrapTopAndBottom/>
              <wp:docPr id="2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10280" cy="320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F5789" w:rsidRDefault="00C61D4A">
                          <w:pPr>
                            <w:pStyle w:val="Cabecera-Consejera"/>
                            <w:jc w:val="center"/>
                          </w:pPr>
                          <w:r>
                            <w:t>Consejería de Salud y Consumo</w:t>
                          </w:r>
                        </w:p>
                        <w:p w:rsidR="005F5789" w:rsidRDefault="00C61D4A">
                          <w:pPr>
                            <w:pStyle w:val="Cabecera-Centrodirectivo"/>
                            <w:jc w:val="center"/>
                          </w:pPr>
                          <w:r>
                            <w:t>Servicio Andaluz de Salud</w:t>
                          </w:r>
                        </w:p>
                      </w:txbxContent>
                    </wps:txbx>
                    <wps:bodyPr lIns="0" tIns="0" rIns="0" bIns="0" anchor="ctr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uadro de texto 3" path="m0,0l-2147483645,0l-2147483645,-2147483646l0,-2147483646xe" stroked="f" o:allowincell="f" style="position:absolute;margin-left:342.6pt;margin-top:71pt;width:126.75pt;height:25.2pt;mso-wrap-style:square;v-text-anchor:middle;mso-position-vertical-relative:page" wp14:anchorId="54A65E7C">
              <v:fill o:detectmouseclick="t" on="false"/>
              <v:stroke color="#3465a4" weight="6480" joinstyle="round" endcap="flat"/>
              <v:textbox>
                <w:txbxContent>
                  <w:p>
                    <w:pPr>
                      <w:pStyle w:val="CabeceraConsejera"/>
                      <w:jc w:val="center"/>
                      <w:rPr/>
                    </w:pPr>
                    <w:r>
                      <w:rPr/>
                      <w:t>Consejería de Salud y Consumo</w:t>
                    </w:r>
                  </w:p>
                  <w:p>
                    <w:pPr>
                      <w:pStyle w:val="CabeceraCentrodirectivo"/>
                      <w:jc w:val="center"/>
                      <w:rPr/>
                    </w:pPr>
                    <w:r>
                      <w:rPr/>
                      <w:t>Servicio Andaluz de Salud</w:t>
                    </w:r>
                  </w:p>
                </w:txbxContent>
              </v:textbox>
              <w10:wrap type="topAndBotto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507F31"/>
    <w:multiLevelType w:val="multilevel"/>
    <w:tmpl w:val="AF9C65DE"/>
    <w:lvl w:ilvl="0">
      <w:start w:val="3"/>
      <w:numFmt w:val="bullet"/>
      <w:lvlText w:val="-"/>
      <w:lvlJc w:val="left"/>
      <w:pPr>
        <w:tabs>
          <w:tab w:val="num" w:pos="0"/>
        </w:tabs>
        <w:ind w:left="284" w:hanging="360"/>
      </w:pPr>
      <w:rPr>
        <w:rFonts w:ascii="Source Sans Pro" w:eastAsiaTheme="minorHAnsi" w:hAnsi="Source Sans Pro" w:cs="Source Sans Pro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0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72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44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16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88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0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32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04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7FB3347"/>
    <w:multiLevelType w:val="multilevel"/>
    <w:tmpl w:val="D73460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789"/>
    <w:rsid w:val="00066906"/>
    <w:rsid w:val="00177B26"/>
    <w:rsid w:val="00372EE4"/>
    <w:rsid w:val="0055772A"/>
    <w:rsid w:val="005F5789"/>
    <w:rsid w:val="006106D7"/>
    <w:rsid w:val="006527AE"/>
    <w:rsid w:val="00846C35"/>
    <w:rsid w:val="0085337C"/>
    <w:rsid w:val="00AB6416"/>
    <w:rsid w:val="00C61D4A"/>
    <w:rsid w:val="00E80D47"/>
    <w:rsid w:val="00E97380"/>
    <w:rsid w:val="00EF16A4"/>
    <w:rsid w:val="00FC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E05E63-AC5A-477B-B5F8-F93A46B6E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66A6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0C7D25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0C7D25"/>
  </w:style>
  <w:style w:type="character" w:styleId="Refdecomentario">
    <w:name w:val="annotation reference"/>
    <w:uiPriority w:val="99"/>
    <w:semiHidden/>
    <w:unhideWhenUsed/>
    <w:qFormat/>
    <w:rsid w:val="0085042B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qFormat/>
    <w:rsid w:val="0085042B"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5042B"/>
    <w:rPr>
      <w:rFonts w:ascii="Segoe UI" w:hAnsi="Segoe UI" w:cs="Segoe UI"/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4B09FA"/>
    <w:rPr>
      <w:rFonts w:ascii="Verdana" w:eastAsia="Verdana" w:hAnsi="Verdana" w:cs="Verdana"/>
      <w:sz w:val="18"/>
      <w:szCs w:val="18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link w:val="TextoindependienteCar"/>
    <w:uiPriority w:val="1"/>
    <w:qFormat/>
    <w:rsid w:val="004B09FA"/>
    <w:pPr>
      <w:widowControl w:val="0"/>
      <w:spacing w:after="0" w:line="240" w:lineRule="auto"/>
    </w:pPr>
    <w:rPr>
      <w:rFonts w:ascii="Verdana" w:eastAsia="Verdana" w:hAnsi="Verdana" w:cs="Verdana"/>
      <w:sz w:val="18"/>
      <w:szCs w:val="18"/>
    </w:r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0C7D25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0C7D25"/>
    <w:pPr>
      <w:tabs>
        <w:tab w:val="center" w:pos="4252"/>
        <w:tab w:val="right" w:pos="8504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91DEA"/>
    <w:pPr>
      <w:ind w:left="720"/>
      <w:contextualSpacing/>
    </w:pPr>
  </w:style>
  <w:style w:type="paragraph" w:customStyle="1" w:styleId="Textosinformato1">
    <w:name w:val="Texto sin formato1"/>
    <w:basedOn w:val="Normal"/>
    <w:qFormat/>
    <w:rsid w:val="00591DEA"/>
    <w:pPr>
      <w:spacing w:after="0" w:line="240" w:lineRule="auto"/>
    </w:pPr>
    <w:rPr>
      <w:rFonts w:ascii="Consolas" w:eastAsia="Calibri" w:hAnsi="Consolas" w:cs="Consolas"/>
      <w:sz w:val="21"/>
      <w:szCs w:val="21"/>
      <w:lang w:eastAsia="zh-CN"/>
    </w:rPr>
  </w:style>
  <w:style w:type="paragraph" w:customStyle="1" w:styleId="CM1">
    <w:name w:val="CM1"/>
    <w:basedOn w:val="Normal"/>
    <w:next w:val="Normal"/>
    <w:qFormat/>
    <w:rsid w:val="00154916"/>
    <w:pPr>
      <w:widowControl w:val="0"/>
      <w:spacing w:after="0" w:line="291" w:lineRule="atLeast"/>
    </w:pPr>
    <w:rPr>
      <w:rFonts w:ascii="News Got T" w:eastAsia="Times New Roman" w:hAnsi="News Got T" w:cs="Times New Roman"/>
      <w:sz w:val="24"/>
      <w:szCs w:val="24"/>
      <w:lang w:eastAsia="zh-CN"/>
    </w:rPr>
  </w:style>
  <w:style w:type="paragraph" w:customStyle="1" w:styleId="CM14">
    <w:name w:val="CM14"/>
    <w:basedOn w:val="Normal"/>
    <w:next w:val="Normal"/>
    <w:qFormat/>
    <w:rsid w:val="0098342F"/>
    <w:pPr>
      <w:widowControl w:val="0"/>
      <w:spacing w:after="0" w:line="240" w:lineRule="auto"/>
    </w:pPr>
    <w:rPr>
      <w:rFonts w:ascii="News Got T" w:eastAsia="Times New Roman" w:hAnsi="News Got T" w:cs="News Got T"/>
      <w:sz w:val="24"/>
      <w:szCs w:val="24"/>
      <w:lang w:eastAsia="zh-CN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qFormat/>
    <w:rsid w:val="0085042B"/>
    <w:pPr>
      <w:spacing w:after="200" w:line="276" w:lineRule="auto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5042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cera-Centrodirectivo">
    <w:name w:val="Cabecera - Centro directivo"/>
    <w:autoRedefine/>
    <w:qFormat/>
    <w:rsid w:val="004B09FA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B09FA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ontenidodelmarco">
    <w:name w:val="Contenido del marco"/>
    <w:basedOn w:val="Normal"/>
    <w:qFormat/>
  </w:style>
  <w:style w:type="table" w:styleId="Tablaconcuadrcula">
    <w:name w:val="Table Grid"/>
    <w:basedOn w:val="Tablanormal"/>
    <w:uiPriority w:val="39"/>
    <w:rsid w:val="002917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762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Servicio Andaluz de Salud</Company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Gonzalez Fernandez, Francisco</dc:creator>
  <dc:description/>
  <cp:lastModifiedBy>Cuevas Lorite, Maria Jose</cp:lastModifiedBy>
  <cp:revision>10</cp:revision>
  <cp:lastPrinted>2024-01-19T11:18:00Z</cp:lastPrinted>
  <dcterms:created xsi:type="dcterms:W3CDTF">2024-01-03T11:45:00Z</dcterms:created>
  <dcterms:modified xsi:type="dcterms:W3CDTF">2024-02-16T11:50:00Z</dcterms:modified>
  <dc:language>es-ES</dc:language>
</cp:coreProperties>
</file>