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PLIEGO DE PRESCRIPCIONES TÉCNICAS</w:t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 xml:space="preserve">EXPEDIENTE </w:t>
      </w:r>
      <w:r>
        <w:rPr>
          <w:rFonts w:ascii="Source Sans Pro Black" w:hAnsi="Source Sans Pro Black"/>
          <w:szCs w:val="22"/>
          <w:highlight w:val="yellow"/>
        </w:rPr>
        <w:t>xxxx</w:t>
      </w:r>
      <w:r>
        <w:rPr>
          <w:rFonts w:ascii="Source Sans Pro Black" w:hAnsi="Source Sans Pro Black"/>
          <w:szCs w:val="22"/>
        </w:rPr>
        <w:t>/2024</w:t>
      </w:r>
    </w:p>
    <w:p>
      <w:pPr>
        <w:pStyle w:val="Normal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CONTRATACIÓN DEL SUMINISTRO MEDIANTE ARRENDAMIENTO Y MANTENIMIENTO, SIN OPCIÓN DE COMPRA, DE EQUIPOS DE ENDOSCOPIA PARA LOS CENTROS DE LA CENTRAL PROVINCIAL DE COMPRAS DE ALMERÍA DEL SERVICIO ANDALUZ DE SALUD. MEDIANTE PROCEDIMIENTO ABIERTO.</w:t>
      </w:r>
    </w:p>
    <w:p>
      <w:pPr>
        <w:pStyle w:val="Textoindependiente21"/>
        <w:jc w:val="center"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Textoindependiente21"/>
        <w:jc w:val="center"/>
        <w:rPr>
          <w:rFonts w:ascii="Source Sans Pro Black" w:hAnsi="Source Sans Pro Black" w:eastAsia="Times New Roman" w:cs="Tahoma"/>
          <w:color w:val="auto"/>
          <w:sz w:val="24"/>
          <w:szCs w:val="22"/>
          <w:lang w:eastAsia="es-ES"/>
        </w:rPr>
      </w:pPr>
      <w:r>
        <w:rPr>
          <w:rFonts w:eastAsia="Times New Roman" w:cs="Tahoma" w:ascii="Source Sans Pro Black" w:hAnsi="Source Sans Pro Black"/>
          <w:color w:val="auto"/>
          <w:sz w:val="24"/>
          <w:szCs w:val="22"/>
          <w:lang w:eastAsia="es-ES"/>
        </w:rPr>
        <w:t>ANEXO IV</w:t>
      </w:r>
    </w:p>
    <w:p>
      <w:pPr>
        <w:pStyle w:val="Textoindependiente21"/>
        <w:jc w:val="center"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1Tit"/>
        <w:numPr>
          <w:ilvl w:val="0"/>
          <w:numId w:val="1"/>
        </w:numPr>
        <w:rPr/>
      </w:pPr>
      <w:bookmarkStart w:id="0" w:name="_Toc188776494"/>
      <w:r>
        <w:rPr/>
        <w:t>ESPECIFICACIONES Y CRITERIOS TÉCNICOS</w:t>
      </w:r>
      <w:bookmarkEnd w:id="0"/>
      <w:r>
        <w:rPr/>
        <w:t>.</w:t>
      </w:r>
    </w:p>
    <w:p>
      <w:pPr>
        <w:pStyle w:val="Normal"/>
        <w:spacing w:before="0" w:after="0"/>
        <w:contextualSpacing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Normal"/>
        <w:tabs>
          <w:tab w:val="clear" w:pos="0"/>
          <w:tab w:val="left" w:pos="-3240" w:leader="none"/>
        </w:tabs>
        <w:ind w:left="426"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Heading2"/>
        <w:ind w:left="544"/>
        <w:rPr/>
      </w:pPr>
      <w:r>
        <w:rPr/>
        <w:t>TORRE DE PEDIATR</w:t>
      </w:r>
      <w:r>
        <w:rPr/>
        <w:t>Í</w:t>
      </w:r>
      <w:r>
        <w:rPr/>
        <w:t>A (PE)</w:t>
      </w:r>
    </w:p>
    <w:p>
      <w:pPr>
        <w:pStyle w:val="BodyText"/>
        <w:rPr/>
      </w:pPr>
      <w:r>
        <w:rPr/>
      </w:r>
    </w:p>
    <w:tbl>
      <w:tblPr>
        <w:tblW w:w="5000" w:type="pct"/>
        <w:jc w:val="left"/>
        <w:tblInd w:w="-42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7"/>
        <w:gridCol w:w="3579"/>
        <w:gridCol w:w="3768"/>
      </w:tblGrid>
      <w:tr>
        <w:trPr>
          <w:trHeight w:val="315" w:hRule="atLeast"/>
        </w:trPr>
        <w:tc>
          <w:tcPr>
            <w:tcW w:w="9354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MONITOR HD FULL DE 26”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 función PIP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Pantalla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26” o superior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Resolución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Mínimo 1920 x 1080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Relación de aspecto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16:9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Soportación y anclaje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La soportación (VESA) debe ser regulable de tal modo que permita alinear el marco superior del monitor con los ojos de cualquier profesional asistencial puesto en pie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PE-MON_R-MÍN_6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VIDEOPROCESADOR DE ALTA DEFINICIÓN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Cable de conexión con fuente de luz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Suministro eléctrico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220-240 VAC (+/- 10%) 50/60Hz (+/- 3 Hz)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Protección contra descargas eléctricas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precongelado de imagen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Alta Definición (HD)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Permite escalado de imagen a HD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Captura de fotos desde los botones del endoscopio con grabación en dispositivo de memoria externa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Posibilidad de controlar: videoimpresoras, y sistemas de clasificación de imágenes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Datos mínimos que identificar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en el monitor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nº ID paciente, nombre, edad, sexo, fecha de nacimiento, características de los endoscopios, datos de grabación (duración, hora), nº de imagen, nombre del facultativo y comentarios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PE-PROC_R-MÍN_10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cromoendoscopia virtual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Salidas HD-Sdi, DVI, VBS compuesto (NTSC/PAL), Y/C y RGB, con posibilidad de salidas simultaneas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Ajuste de balance de blancos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Entrada PIP/POP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Posibilidad de modificar el tamaño de la imagen endoscópica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FUENTE DE LUZ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PE-FTE_R-MÍN_1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Tipo de lámpara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xenón (libre de ozono) o LED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PE-FTE_R-MÍN_2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Suministro eléctrico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220-240 VAC (+/- 10%) 50/60Hz (+/- 3 Hz)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PE-FTE_R-MÍN_3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Control automático del brillo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PE-FTE_R-MÍN_4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Ajustes mantenidos aunque se apague el equipo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PE-FTE_R-MÍN_5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TE-FTE_R-MÍN_6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Promedio de vida de las lámparas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Mínimo 500 horas en uso continuado.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TE-FTE_R-MÍN_7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Conexión de endoscopios rápida en un paso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Sí/No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CARRO ERGONÓMICO ESTRECHO PARA SISTEMAS ENDOSCÓPICOS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PE-CAR_R-MÍN_1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Dimensiones.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 torno a: alto 1160 mm, ancho 655 mm, largo 800 mm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PE-CAR_R-MÍN_2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Peso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Máximo 90 Kg.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PE-CAR_R-MÍN_3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Ruedas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Mínimo 4 x 125 mm (2 con frenos)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PE-CAR_R-MÍN_4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Bandeja de teclado antideslizante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PE-CAR_R-MÍN_5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Colgador de endoscopios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BOMBA DE IRRIGACIÓN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PE-BIR_R-MÍN_1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Pedal de control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PE-BIR_R-MÍN_2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Flujo regulable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INSUFLADOR DE CO2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PE-CO2_R-MÍN_1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estándar fuente CO2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</w:tbl>
    <w:p>
      <w:pPr>
        <w:pStyle w:val="Normal"/>
        <w:spacing w:before="0" w:after="0"/>
        <w:contextualSpacing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Heading2"/>
        <w:ind w:left="544"/>
        <w:rPr/>
      </w:pPr>
      <w:r>
        <w:rPr/>
        <w:t>VIDEOGASTROSCOPIO DE GAMA ALTA (VGAS-GALT)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76"/>
        <w:gridCol w:w="3664"/>
        <w:gridCol w:w="3714"/>
      </w:tblGrid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 mm aprox.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1300 mm aprox.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óptico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CMOS/CCD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Dirección de visión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Frontal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Rango de angulación mínima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Arriba 210º,abajo 90º,derecha/izquierda 100º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 mm o mayor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VGAS-GA_R-MÍN_7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Canal auxiliar de lavado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852" w:left="852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VGAS-GA_R-MÍN_9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Control del zoom electrónico desde los 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mandos del endoscopio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 (en tres pasos)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140º o mayor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 mm o menor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Distancia mínima de enfoque 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(profundidad de campo)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mm o menor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HDTV/HD 1080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 solo paso (SI/NO)</w:t>
            </w:r>
          </w:p>
        </w:tc>
      </w:tr>
      <w:tr>
        <w:trPr>
          <w:trHeight w:val="31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VGAS-GA_R-MÍN_15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cromoendoscopia virtual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Sí, disponible desde la empuñadura</w:t>
            </w:r>
          </w:p>
        </w:tc>
      </w:tr>
    </w:tbl>
    <w:p>
      <w:pPr>
        <w:pStyle w:val="Heading2"/>
        <w:ind w:left="544"/>
        <w:rPr/>
      </w:pPr>
      <w:r>
        <w:rPr/>
      </w:r>
    </w:p>
    <w:p>
      <w:pPr>
        <w:pStyle w:val="Heading2"/>
        <w:ind w:left="544"/>
        <w:rPr/>
      </w:pPr>
      <w:r>
        <w:rPr/>
        <w:t>VIDEOGASTROSCOPIO PEDIÁTRICO (VGAS-P)</w:t>
      </w:r>
    </w:p>
    <w:tbl>
      <w:tblPr>
        <w:tblW w:w="5000" w:type="pct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53"/>
        <w:gridCol w:w="4341"/>
        <w:gridCol w:w="2960"/>
      </w:tblGrid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1000 mm aprox.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1300 mm aprox.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óptico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CMOS/CCD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Dirección de visión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Frontal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Rango de angulación mínima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Arriba 210º,abajo 90º,</w:t>
            </w:r>
          </w:p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derecha/izquierda 100º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Control del zoom electrónico desde los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mandos del endoscopio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 (en tres pasos)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140º o mayor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 mm o menor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Distancia mínima de enfoque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(profundidad de campo)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mm o menor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 solo paso (SI/NO)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cromoendoscopia virtual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Si, disponible desde la empuñadura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VGAS-P_R-MÍN_14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Canal de trabajo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mm o mayor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Heading2"/>
        <w:ind w:left="544"/>
        <w:rPr/>
      </w:pPr>
      <w:r>
        <w:rPr/>
        <w:t>VIDEOCOLONOSCOPIO PEDIÁTRICO (VCOL-P)</w:t>
      </w:r>
    </w:p>
    <w:tbl>
      <w:tblPr>
        <w:tblpPr w:vertAnchor="text" w:horzAnchor="margin" w:tblpXSpec="center" w:leftFromText="141" w:rightFromText="141" w:tblpY="306"/>
        <w:tblW w:w="49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66"/>
        <w:gridCol w:w="3914"/>
        <w:gridCol w:w="3386"/>
      </w:tblGrid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1600 mm aprox.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2000 mm aprox.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óptico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CMOS/CCD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Dirección de visión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Frontal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Canal auxiliar de lavado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facilitación de la inserción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Control del zoom electrónico desde los 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mandos del endoscopio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 (en tres pasos)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140º o mayor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11,7 mm o menor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Distancia mínima de enfoque</w:t>
            </w:r>
          </w:p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(profundidad de campo)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mm o menor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 solo paso (SI/NO)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cromoendoscopia virtual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Sí, disponible desde la empuñadura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VCOL-P_R-MÍN_16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 mm o mayor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Heading2"/>
        <w:ind w:left="544"/>
        <w:rPr/>
      </w:pPr>
      <w:r>
        <w:rPr/>
      </w:r>
      <w:bookmarkStart w:id="1" w:name="_Toc13225492"/>
      <w:bookmarkStart w:id="2" w:name="_Toc526169551"/>
      <w:bookmarkStart w:id="3" w:name="_Toc13225492"/>
      <w:bookmarkStart w:id="4" w:name="_Toc526169551"/>
    </w:p>
    <w:p>
      <w:pPr>
        <w:pStyle w:val="Heading2"/>
        <w:ind w:left="544"/>
        <w:rPr/>
      </w:pPr>
      <w:bookmarkStart w:id="5" w:name="_Toc13225492"/>
      <w:bookmarkStart w:id="6" w:name="_Toc526169551"/>
      <w:r>
        <w:rPr/>
        <w:t>VIDEOBRONCOSCOPIO PEDIÁTRICO (VBRO-P)</w:t>
      </w:r>
      <w:bookmarkEnd w:id="5"/>
      <w:bookmarkEnd w:id="6"/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99"/>
        <w:gridCol w:w="3750"/>
        <w:gridCol w:w="3505"/>
      </w:tblGrid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1,2 mm a 2 mm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3,1 mm a 4,2 mm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uno o dos pasos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 110ºC y 120ºC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Rango de angulación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Arriba 180º, abajo 130º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Heading2"/>
        <w:ind w:left="544"/>
        <w:rPr/>
      </w:pPr>
      <w:r>
        <w:rPr/>
        <w:t>VIDEOBRONCOSCOPIO NEONATAL (VBRO-N)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99"/>
        <w:gridCol w:w="3750"/>
        <w:gridCol w:w="3505"/>
      </w:tblGrid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1,2 mm a 1,8 mm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2,8 mm a 3,8 mm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uno o dos pasos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 110ºC y 120ºC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Rango de angulación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Arriba 180º, abajo 130º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VBRO-N_R-MÍN_7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Normal"/>
        <w:tabs>
          <w:tab w:val="clear" w:pos="0"/>
          <w:tab w:val="left" w:pos="-3240" w:leader="none"/>
        </w:tabs>
        <w:ind w:left="426"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Normal"/>
        <w:tabs>
          <w:tab w:val="clear" w:pos="0"/>
          <w:tab w:val="left" w:pos="-3240" w:leader="none"/>
        </w:tabs>
        <w:ind w:left="426"/>
        <w:rPr>
          <w:rFonts w:ascii="NewsGotT" w:hAnsi="NewsGotT"/>
        </w:rPr>
      </w:pPr>
      <w:r>
        <w:rPr>
          <w:rFonts w:ascii="NewsGotT" w:hAnsi="NewsGotT"/>
        </w:rPr>
      </w:r>
    </w:p>
    <w:p>
      <w:pPr>
        <w:pStyle w:val="Normal"/>
        <w:tabs>
          <w:tab w:val="clear" w:pos="0"/>
          <w:tab w:val="left" w:pos="-3240" w:leader="none"/>
        </w:tabs>
        <w:ind w:left="426"/>
        <w:rPr>
          <w:rFonts w:ascii="Verdana" w:hAnsi="Verdana" w:cs="Verdana"/>
          <w:b/>
          <w:sz w:val="21"/>
          <w:szCs w:val="21"/>
        </w:rPr>
      </w:pPr>
      <w:r>
        <w:rPr>
          <w:rFonts w:cs="Verdana" w:ascii="Verdana" w:hAnsi="Verdana"/>
          <w:b/>
          <w:sz w:val="21"/>
          <w:szCs w:val="21"/>
        </w:rPr>
        <w:tab/>
        <w:tab/>
        <w:tab/>
        <w:tab/>
        <w:tab/>
        <w:tab/>
        <w:tab/>
        <w:t xml:space="preserve"> Conocido y aceptado en su totalidad</w:t>
      </w:r>
    </w:p>
    <w:p>
      <w:pPr>
        <w:pStyle w:val="Normal"/>
        <w:jc w:val="right"/>
        <w:rPr>
          <w:rFonts w:ascii="Verdana" w:hAnsi="Verdana" w:cs="Verdana"/>
          <w:b/>
          <w:sz w:val="21"/>
          <w:szCs w:val="21"/>
        </w:rPr>
      </w:pPr>
      <w:r>
        <w:rPr>
          <w:rFonts w:cs="Verdana" w:ascii="Verdana" w:hAnsi="Verdana"/>
          <w:b/>
          <w:sz w:val="21"/>
          <w:szCs w:val="21"/>
        </w:rPr>
      </w:r>
    </w:p>
    <w:p>
      <w:pPr>
        <w:pStyle w:val="Normal"/>
        <w:jc w:val="right"/>
        <w:rPr>
          <w:rFonts w:ascii="Verdana" w:hAnsi="Verdana" w:cs="Verdana"/>
          <w:b/>
          <w:sz w:val="21"/>
          <w:szCs w:val="21"/>
        </w:rPr>
      </w:pPr>
      <w:r>
        <w:rPr>
          <w:rFonts w:cs="Verdana" w:ascii="Verdana" w:hAnsi="Verdana"/>
          <w:b/>
          <w:sz w:val="21"/>
          <w:szCs w:val="21"/>
        </w:rPr>
        <w:tab/>
        <w:tab/>
        <w:tab/>
        <w:t>POR EL ADJUDICATARIO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2268" w:footer="567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ewsGotT">
    <w:charset w:val="00"/>
    <w:family w:val="roman"/>
    <w:pitch w:val="variable"/>
  </w:font>
  <w:font w:name="Arial">
    <w:charset w:val="00"/>
    <w:family w:val="roman"/>
    <w:pitch w:val="variable"/>
  </w:font>
  <w:font w:name="Source Sans Pro">
    <w:charset w:val="00"/>
    <w:family w:val="roman"/>
    <w:pitch w:val="variable"/>
  </w:font>
  <w:font w:name="Source Sans Pro Semibold">
    <w:charset w:val="00"/>
    <w:family w:val="roman"/>
    <w:pitch w:val="variable"/>
  </w:font>
  <w:font w:name="Source Sans Pro Black">
    <w:charset w:val="00"/>
    <w:family w:val="roman"/>
    <w:pitch w:val="variable"/>
  </w:font>
  <w:font w:name="Eras Md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>
        <w:rFonts w:ascii="Eras Md BT" w:hAnsi="Eras Md BT"/>
        <w:color w:val="007A3D"/>
        <w:sz w:val="16"/>
      </w:rPr>
      <w:t xml:space="preserve">Página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PAGE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5</w:t>
    </w:r>
    <w:r>
      <w:rPr>
        <w:sz w:val="16"/>
        <w:rFonts w:ascii="Eras Md BT" w:hAnsi="Eras Md BT"/>
      </w:rPr>
      <w:fldChar w:fldCharType="end"/>
    </w:r>
    <w:r>
      <w:rPr>
        <w:lang w:val="es-ES"/>
      </w:rPr>
      <w:t xml:space="preserve"> </w:t>
    </w:r>
    <w:r>
      <w:rPr>
        <w:rFonts w:ascii="Eras Md BT" w:hAnsi="Eras Md BT"/>
        <w:color w:val="007A3D"/>
        <w:sz w:val="16"/>
      </w:rPr>
      <w:t xml:space="preserve">de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NUMPAGES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5</w:t>
    </w:r>
    <w:r>
      <w:rPr>
        <w:sz w:val="16"/>
        <w:rFonts w:ascii="Eras Md BT" w:hAnsi="Eras Md BT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0" w:leader="none"/>
        <w:tab w:val="center" w:pos="4252" w:leader="none"/>
        <w:tab w:val="right" w:pos="9354" w:leader="none"/>
      </w:tabs>
      <w:spacing w:before="240" w:after="120"/>
      <w:jc w:val="left"/>
      <w:rPr/>
    </w:pPr>
    <w: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-438150</wp:posOffset>
          </wp:positionH>
          <wp:positionV relativeFrom="page">
            <wp:posOffset>159385</wp:posOffset>
          </wp:positionV>
          <wp:extent cx="1259840" cy="713740"/>
          <wp:effectExtent l="0" t="0" r="0" b="0"/>
          <wp:wrapThrough wrapText="bothSides">
            <wp:wrapPolygon edited="0">
              <wp:start x="9141" y="0"/>
              <wp:lineTo x="5651" y="12295"/>
              <wp:lineTo x="-8" y="17676"/>
              <wp:lineTo x="-8" y="20745"/>
              <wp:lineTo x="21337" y="20745"/>
              <wp:lineTo x="21337" y="17676"/>
              <wp:lineTo x="15670" y="12295"/>
              <wp:lineTo x="13056" y="0"/>
              <wp:lineTo x="9141" y="0"/>
            </wp:wrapPolygon>
          </wp:wrapThrough>
          <wp:docPr id="1" name="Placeholder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368300" distL="114300" distR="129540" simplePos="0" locked="0" layoutInCell="0" allowOverlap="1" relativeHeight="15" wp14:anchorId="3EEFCFC1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2346960" cy="791845"/>
              <wp:effectExtent l="0" t="635" r="0" b="0"/>
              <wp:wrapTopAndBottom/>
              <wp:docPr id="2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cera-Consejera"/>
                            <w:jc w:val="right"/>
                            <w:rPr/>
                          </w:pPr>
                          <w:r>
                            <w:rPr/>
                            <w:t>Consejería de Salud y Consumo</w:t>
                          </w:r>
                        </w:p>
                        <w:p>
                          <w:pPr>
                            <w:pStyle w:val="Cabecera-Centrodirectivo"/>
                            <w:jc w:val="right"/>
                            <w:rPr/>
                          </w:pPr>
                          <w:r>
                            <w:rPr/>
                            <w:t>Servicio Andaluz de Salud</w:t>
                          </w:r>
                        </w:p>
                      </w:txbxContent>
                    </wps:txbx>
                    <wps:bodyPr lIns="0" rIns="0" tIns="0" bIns="0"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272.65pt;margin-top:0pt;width:184.75pt;height:62.3pt;mso-wrap-style:square;v-text-anchor:middle;mso-position-horizontal:right;mso-position-horizontal-relative:margin;mso-position-vertical:top;mso-position-vertical-relative:page" wp14:anchorId="3EEFCFC1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abecera-Consejera"/>
                      <w:jc w:val="right"/>
                      <w:rPr/>
                    </w:pPr>
                    <w:r>
                      <w:rPr/>
                      <w:t>Consejería de Salud y Consumo</w:t>
                    </w:r>
                  </w:p>
                  <w:p>
                    <w:pPr>
                      <w:pStyle w:val="Cabecera-Centrodirectivo"/>
                      <w:jc w:val="right"/>
                      <w:rPr/>
                    </w:pPr>
                    <w:r>
                      <w:rPr/>
                      <w:t>Servicio Andaluz de Salud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/>
      <w:tab/>
      <w:tab/>
    </w:r>
  </w:p>
  <w:p>
    <w:pPr>
      <w:pStyle w:val="Normal"/>
      <w:tabs>
        <w:tab w:val="left" w:pos="0" w:leader="none"/>
        <w:tab w:val="left" w:pos="130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4"/>
        <w:i w:val="false"/>
        <w:u w:val="none"/>
        <w:b/>
        <w:szCs w:val="20"/>
        <w:rFonts w:ascii="NewsGotT" w:hAnsi="NewsGot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sz w:val="24"/>
        <w:i w:val="false"/>
        <w:b w:val="false"/>
        <w:rFonts w:ascii="NewsGotT" w:hAnsi="NewsGot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utoRedefine/>
    <w:qFormat/>
    <w:rsid w:val="00371e5c"/>
    <w:pPr>
      <w:widowControl/>
      <w:tabs>
        <w:tab w:val="clear" w:pos="709"/>
        <w:tab w:val="left" w:pos="0" w:leader="none"/>
      </w:tabs>
      <w:bidi w:val="0"/>
      <w:spacing w:before="0" w:after="0"/>
      <w:jc w:val="both"/>
    </w:pPr>
    <w:rPr>
      <w:rFonts w:ascii="Tahoma" w:hAnsi="Tahoma" w:eastAsia="Times New Roman" w:cs="Tahoma"/>
      <w:color w:val="auto"/>
      <w:kern w:val="0"/>
      <w:sz w:val="24"/>
      <w:szCs w:val="20"/>
      <w:lang w:val="es-ES_tradnl" w:eastAsia="es-ES" w:bidi="ar-SA"/>
    </w:rPr>
  </w:style>
  <w:style w:type="paragraph" w:styleId="Heading1">
    <w:name w:val="Heading 1"/>
    <w:basedOn w:val="Header"/>
    <w:next w:val="BodyText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er"/>
    <w:next w:val="BodyText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er"/>
    <w:next w:val="BodyText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43e86"/>
    <w:rPr/>
  </w:style>
  <w:style w:type="character" w:styleId="PiedepginaCar" w:customStyle="1">
    <w:name w:val="Pie de página Car"/>
    <w:basedOn w:val="DefaultParagraphFont"/>
    <w:uiPriority w:val="99"/>
    <w:qFormat/>
    <w:rsid w:val="00743e86"/>
    <w:rPr/>
  </w:style>
  <w:style w:type="character" w:styleId="TextoindependienteCar" w:customStyle="1">
    <w:name w:val="Texto independiente Car"/>
    <w:basedOn w:val="DefaultParagraphFont"/>
    <w:qFormat/>
    <w:rsid w:val="00371e5c"/>
    <w:rPr>
      <w:rFonts w:ascii="Tahoma" w:hAnsi="Tahoma" w:eastAsia="Times New Roman" w:cs="Tahoma"/>
      <w:sz w:val="24"/>
      <w:szCs w:val="20"/>
      <w:lang w:val="es-ES_tradnl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a3903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Pagenumber">
    <w:name w:val="page number"/>
    <w:basedOn w:val="DefaultParagraphFont"/>
    <w:qFormat/>
    <w:rPr/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Verdana" w:hAnsi="Verdana" w:eastAsia="Times New Roman" w:cs="Arial Unicode M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>
      <w:rFonts w:ascii="Wingdings" w:hAnsi="Wingdings" w:cs="Wingdings"/>
      <w:color w:val="000000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b w:val="false"/>
      <w:i/>
      <w:u w:val="none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Wingdings" w:hAnsi="Wingdings" w:cs="Wingdings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rFonts w:ascii="Verdana" w:hAnsi="Verdana" w:cs="Arial Unicode MS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rsid w:val="00371e5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next w:val="BodyText"/>
    <w:link w:val="EncabezadoCar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Footer">
    <w:name w:val="Footer"/>
    <w:basedOn w:val="Normal"/>
    <w:link w:val="PiedepginaCar"/>
    <w:uiPriority w:val="99"/>
    <w:unhideWhenUsed/>
    <w:rsid w:val="00743e86"/>
    <w:pPr>
      <w:tabs>
        <w:tab w:val="left" w:pos="0" w:leader="none"/>
        <w:tab w:val="center" w:pos="4252" w:leader="none"/>
        <w:tab w:val="right" w:pos="8504" w:leader="none"/>
      </w:tabs>
    </w:pPr>
    <w:rPr/>
  </w:style>
  <w:style w:type="paragraph" w:styleId="Textodenotaalfinal" w:customStyle="1">
    <w:name w:val="Texto de nota al final"/>
    <w:basedOn w:val="Normal"/>
    <w:qFormat/>
    <w:rsid w:val="00371e5c"/>
    <w:pPr>
      <w:widowControl w:val="false"/>
    </w:pPr>
    <w:rPr>
      <w:rFonts w:ascii="Courier New" w:hAnsi="Courier New"/>
    </w:rPr>
  </w:style>
  <w:style w:type="paragraph" w:styleId="1Tit" w:customStyle="1">
    <w:name w:val="1. Tit"/>
    <w:basedOn w:val="Normal"/>
    <w:next w:val="Normal"/>
    <w:autoRedefine/>
    <w:qFormat/>
    <w:rsid w:val="006e0cab"/>
    <w:pPr/>
    <w:rPr>
      <w:rFonts w:ascii="NewsGotT" w:hAnsi="NewsGotT"/>
      <w:b/>
      <w:caps/>
      <w:szCs w:val="24"/>
    </w:rPr>
  </w:style>
  <w:style w:type="paragraph" w:styleId="11Tit" w:customStyle="1">
    <w:name w:val="1.1 Tit"/>
    <w:basedOn w:val="Normal"/>
    <w:next w:val="Normal"/>
    <w:autoRedefine/>
    <w:qFormat/>
    <w:rsid w:val="00371e5c"/>
    <w:pPr/>
    <w:rPr>
      <w:b/>
      <w:sz w:val="20"/>
      <w:u w:val="single"/>
    </w:rPr>
  </w:style>
  <w:style w:type="paragraph" w:styleId="S51Tit" w:customStyle="1">
    <w:name w:val="S5_1. Tit"/>
    <w:basedOn w:val="Normal"/>
    <w:next w:val="Normal"/>
    <w:autoRedefine/>
    <w:qFormat/>
    <w:rsid w:val="00371e5c"/>
    <w:pPr>
      <w:tabs>
        <w:tab w:val="clear" w:pos="0"/>
      </w:tabs>
      <w:suppressAutoHyphens w:val="true"/>
    </w:pPr>
    <w:rPr>
      <w:b/>
      <w:color w:val="000000"/>
      <w:sz w:val="20"/>
      <w:u w:val="single"/>
    </w:rPr>
  </w:style>
  <w:style w:type="paragraph" w:styleId="S111Tit" w:customStyle="1">
    <w:name w:val="S1_1.1 Tit"/>
    <w:basedOn w:val="Normal"/>
    <w:qFormat/>
    <w:rsid w:val="00371e5c"/>
    <w:pPr/>
    <w:rPr/>
  </w:style>
  <w:style w:type="paragraph" w:styleId="S1111Tit" w:customStyle="1">
    <w:name w:val="S1_1.1.1 Tit"/>
    <w:basedOn w:val="Normal"/>
    <w:qFormat/>
    <w:rsid w:val="00371e5c"/>
    <w:pPr/>
    <w:rPr/>
  </w:style>
  <w:style w:type="paragraph" w:styleId="BalloonText">
    <w:name w:val="Balloon Text"/>
    <w:basedOn w:val="Normal"/>
    <w:link w:val="TextodegloboCar"/>
    <w:qFormat/>
    <w:pPr/>
    <w:rPr>
      <w:sz w:val="16"/>
      <w:szCs w:val="16"/>
    </w:rPr>
  </w:style>
  <w:style w:type="paragraph" w:styleId="Textoindependiente21" w:customStyle="1">
    <w:name w:val="Texto independiente 21"/>
    <w:basedOn w:val="Normal"/>
    <w:qFormat/>
    <w:pPr>
      <w:spacing w:before="120" w:after="0"/>
    </w:pPr>
    <w:rPr>
      <w:rFonts w:ascii="Times New Roman" w:hAnsi="Times New Roman" w:eastAsia="Calibri" w:cs="Times New Roman"/>
      <w:color w:val="000000"/>
      <w:sz w:val="18"/>
      <w:lang w:eastAsia="zh-CN"/>
    </w:rPr>
  </w:style>
  <w:style w:type="paragraph" w:styleId="Subtitle">
    <w:name w:val="Subtitle"/>
    <w:basedOn w:val="Header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Quote">
    <w:name w:val="Quote"/>
    <w:basedOn w:val="Normal"/>
    <w:qFormat/>
    <w:pPr>
      <w:spacing w:before="0" w:after="283"/>
      <w:ind w:left="567" w:right="567"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stiloJGG" w:customStyle="1">
    <w:name w:val="EstiloJGG"/>
    <w:basedOn w:val="Normal"/>
    <w:qFormat/>
    <w:pPr/>
    <w:rPr>
      <w:rFonts w:ascii="Arial" w:hAnsi="Arial" w:cs="Arial"/>
      <w:kern w:val="2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BodyTextIndent3">
    <w:name w:val="Body Text Indent 3"/>
    <w:basedOn w:val="Normal"/>
    <w:qFormat/>
    <w:pPr>
      <w:suppressAutoHyphens w:val="true"/>
      <w:ind w:hanging="142" w:left="1560"/>
    </w:pPr>
    <w:rPr>
      <w:rFonts w:ascii="Arial" w:hAnsi="Arial" w:cs="Times New Roman"/>
      <w:spacing w:val="-3"/>
      <w:sz w:val="20"/>
    </w:rPr>
  </w:style>
  <w:style w:type="paragraph" w:styleId="ListParagraph">
    <w:name w:val="List Paragraph"/>
    <w:basedOn w:val="Normal"/>
    <w:uiPriority w:val="34"/>
    <w:qFormat/>
    <w:rsid w:val="003d349d"/>
    <w:pPr>
      <w:spacing w:before="0" w:after="0"/>
      <w:ind w:left="720"/>
      <w:contextualSpacing/>
    </w:pPr>
    <w:rPr/>
  </w:style>
  <w:style w:type="paragraph" w:styleId="Cabecera-Centrodirectivo" w:customStyle="1">
    <w:name w:val="Cabecera - Centro directivo"/>
    <w:autoRedefine/>
    <w:qFormat/>
    <w:rsid w:val="006d2ebb"/>
    <w:pPr>
      <w:widowControl/>
      <w:bidi w:val="0"/>
      <w:spacing w:before="40" w:after="0"/>
      <w:jc w:val="left"/>
    </w:pPr>
    <w:rPr>
      <w:rFonts w:ascii="Source Sans Pro" w:hAnsi="Source Sans Pro" w:eastAsia="Noto Sans HK" w:cs="Times New Roman"/>
      <w:color w:val="auto"/>
      <w:kern w:val="0"/>
      <w:sz w:val="18"/>
      <w:szCs w:val="16"/>
      <w:lang w:eastAsia="en-US" w:bidi="ar-SA" w:val="es-ES"/>
    </w:rPr>
  </w:style>
  <w:style w:type="paragraph" w:styleId="Cabecera-Consejera" w:customStyle="1">
    <w:name w:val="Cabecera - Consejería"/>
    <w:next w:val="Cabecera-Centrodirectivo"/>
    <w:autoRedefine/>
    <w:qFormat/>
    <w:rsid w:val="006d2ebb"/>
    <w:pPr>
      <w:widowControl/>
      <w:bidi w:val="0"/>
      <w:spacing w:before="0" w:after="0"/>
      <w:jc w:val="left"/>
    </w:pPr>
    <w:rPr>
      <w:rFonts w:ascii="Source Sans Pro Semibold" w:hAnsi="Source Sans Pro Semibold" w:eastAsia="Noto Sans HK Medium" w:cs="Times New Roman"/>
      <w:color w:val="auto"/>
      <w:kern w:val="0"/>
      <w:sz w:val="18"/>
      <w:szCs w:val="17"/>
      <w:lang w:eastAsia="en-US" w:bidi="ar-SA" w:val="es-E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LibreOffice/7.6.2.1$Windows_X86_64 LibreOffice_project/56f7684011345957bbf33a7ee678afaf4d2ba333</Application>
  <AppVersion>15.0000</AppVersion>
  <DocSecurity>0</DocSecurity>
  <Pages>5</Pages>
  <Words>982</Words>
  <Characters>6112</Characters>
  <CharactersWithSpaces>6806</CharactersWithSpaces>
  <Paragraphs>314</Paragraphs>
  <Company>JUNTA DE ANDALUCIA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2019-01-24T10:14:00Z</dcterms:created>
  <dc:creator>Castaño Garcia, Francisco</dc:creator>
  <dc:description/>
  <cp:keywords>Radiología Estepona</cp:keywords>
  <dc:language>es-ES</dc:language>
  <cp:lastModifiedBy/>
  <cp:lastPrinted>2018-12-04T13:20:00Z</cp:lastPrinted>
  <dcterms:modified xsi:type="dcterms:W3CDTF">2024-06-17T08:46:11Z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