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Source Sans Pro Black" w:hAnsi="Source Sans Pro Black"/>
          <w:szCs w:val="22"/>
        </w:rPr>
      </w:pPr>
      <w:r>
        <w:rPr>
          <w:rFonts w:ascii="Source Sans Pro Black" w:hAnsi="Source Sans Pro Black"/>
          <w:szCs w:val="22"/>
        </w:rPr>
        <w:t>PLIEGO DE PRESCRIPCIONES TÉCNICAS</w:t>
      </w:r>
    </w:p>
    <w:p>
      <w:pPr>
        <w:pStyle w:val="Normal"/>
        <w:jc w:val="center"/>
        <w:rPr>
          <w:rFonts w:ascii="Source Sans Pro Black" w:hAnsi="Source Sans Pro Black"/>
          <w:szCs w:val="22"/>
        </w:rPr>
      </w:pPr>
      <w:r>
        <w:rPr>
          <w:rFonts w:ascii="Source Sans Pro Black" w:hAnsi="Source Sans Pro Black"/>
          <w:szCs w:val="22"/>
        </w:rPr>
        <w:t xml:space="preserve">EXPEDIENTE </w:t>
      </w:r>
      <w:r>
        <w:rPr>
          <w:rFonts w:ascii="Source Sans Pro Black" w:hAnsi="Source Sans Pro Black"/>
          <w:szCs w:val="22"/>
          <w:highlight w:val="yellow"/>
        </w:rPr>
        <w:t>xxxx</w:t>
      </w:r>
      <w:r>
        <w:rPr>
          <w:rFonts w:ascii="Source Sans Pro Black" w:hAnsi="Source Sans Pro Black"/>
          <w:szCs w:val="22"/>
        </w:rPr>
        <w:t>/2024</w:t>
      </w:r>
    </w:p>
    <w:p>
      <w:pPr>
        <w:pStyle w:val="Normal"/>
        <w:rPr>
          <w:rFonts w:ascii="Source Sans Pro Black" w:hAnsi="Source Sans Pro Black"/>
          <w:szCs w:val="22"/>
        </w:rPr>
      </w:pPr>
      <w:r>
        <w:rPr>
          <w:rFonts w:ascii="Source Sans Pro Black" w:hAnsi="Source Sans Pro Black"/>
          <w:szCs w:val="22"/>
        </w:rPr>
        <w:t>CONTRATACIÓN DEL SUMINISTRO MEDIANTE ARRENDAMIENTO Y MANTENIMIENTO, SIN OPCIÓN DE COMPRA, DE EQUIPOS DE ENDOSCOPIA PARA LOS CENTROS DE LA CENTRAL PROVINCIAL DE COMPRAS DE ALMERÍA DEL SERVICIO ANDALUZ DE SALUD. MEDIANTE PROCEDIMIENTO ABIERTO.</w:t>
      </w:r>
    </w:p>
    <w:p>
      <w:pPr>
        <w:pStyle w:val="Normal"/>
        <w:jc w:val="center"/>
        <w:rPr>
          <w:rFonts w:ascii="Source Sans Pro Black" w:hAnsi="Source Sans Pro Black"/>
          <w:szCs w:val="22"/>
        </w:rPr>
      </w:pPr>
      <w:r>
        <w:rPr>
          <w:rFonts w:ascii="Source Sans Pro Black" w:hAnsi="Source Sans Pro Black"/>
          <w:szCs w:val="22"/>
        </w:rPr>
        <w:t>ANEXO V</w:t>
      </w:r>
    </w:p>
    <w:p>
      <w:pPr>
        <w:pStyle w:val="Heading1"/>
        <w:rPr/>
      </w:pPr>
      <w:r>
        <w:rPr/>
        <w:t>AGRUPACIÓN IV. ECOENDOSCOPIA DIGESTIVA</w:t>
      </w:r>
    </w:p>
    <w:p>
      <w:pPr>
        <w:pStyle w:val="Heading2"/>
        <w:ind w:left="544"/>
        <w:rPr/>
      </w:pPr>
      <w:bookmarkStart w:id="0" w:name="_Toc13225479"/>
      <w:bookmarkStart w:id="1" w:name="_Toc526169538"/>
      <w:r>
        <w:rPr/>
        <w:t>TORRE DE ECOENDOSCOPIA (T-ECO)</w:t>
      </w:r>
      <w:bookmarkEnd w:id="0"/>
      <w:bookmarkEnd w:id="1"/>
    </w:p>
    <w:tbl>
      <w:tblPr>
        <w:tblW w:w="5000" w:type="pct"/>
        <w:jc w:val="left"/>
        <w:tblInd w:w="-426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007"/>
        <w:gridCol w:w="3579"/>
        <w:gridCol w:w="3768"/>
      </w:tblGrid>
      <w:tr>
        <w:trPr>
          <w:trHeight w:val="315" w:hRule="atLeast"/>
        </w:trPr>
        <w:tc>
          <w:tcPr>
            <w:tcW w:w="9354" w:type="dxa"/>
            <w:gridSpan w:val="3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MONITOR HD FULL DE 26”</w:t>
            </w:r>
          </w:p>
        </w:tc>
      </w:tr>
      <w:tr>
        <w:trPr>
          <w:trHeight w:val="315" w:hRule="atLeast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TE-MON_R-MÍN_1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Con función PIP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</w:rPr>
              <w:t>Sí</w:t>
            </w:r>
          </w:p>
        </w:tc>
      </w:tr>
      <w:tr>
        <w:trPr>
          <w:trHeight w:val="315" w:hRule="atLeast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TE-MON_R-MÍN_2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Pantalla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</w:rPr>
              <w:t>26” o superior</w:t>
            </w:r>
          </w:p>
        </w:tc>
      </w:tr>
      <w:tr>
        <w:trPr>
          <w:trHeight w:val="315" w:hRule="atLeast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TE-MON_R-MÍN_3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 xml:space="preserve">Resolución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</w:rPr>
              <w:t>Mínimo 1920 x 1080</w:t>
            </w:r>
          </w:p>
        </w:tc>
      </w:tr>
      <w:tr>
        <w:trPr>
          <w:trHeight w:val="315" w:hRule="atLeast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TE-MON_R-MÍN_4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Relación de aspecto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</w:rPr>
              <w:t>16:9</w:t>
            </w:r>
          </w:p>
        </w:tc>
      </w:tr>
      <w:tr>
        <w:trPr>
          <w:trHeight w:val="315" w:hRule="atLeast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TE-MON_R-MÍN_5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Soportación y anclaje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</w:rPr>
              <w:t>La soportación (VESA) debe ser regulable de tal modo que permita alinear el marco superior del monitor con los ojos de cualquier profesional asistencial puesto en pie</w:t>
            </w:r>
          </w:p>
        </w:tc>
      </w:tr>
      <w:tr>
        <w:trPr>
          <w:trHeight w:val="315" w:hRule="atLeast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TE-MON_R-MÍN_6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Certificado del fabricante de Inicio de Comercialización del modelo ofertado en la Unión Europea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</w:rPr>
              <w:t>Adjuntar certificado firmado</w:t>
            </w:r>
          </w:p>
        </w:tc>
      </w:tr>
      <w:tr>
        <w:trPr>
          <w:trHeight w:val="315" w:hRule="atLeast"/>
        </w:trPr>
        <w:tc>
          <w:tcPr>
            <w:tcW w:w="935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</w:r>
          </w:p>
          <w:p>
            <w:pPr>
              <w:pStyle w:val="Normal"/>
              <w:jc w:val="left"/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VIDEOPROCESADOR DE ALTA DEFINICIÓN</w:t>
            </w:r>
          </w:p>
        </w:tc>
      </w:tr>
      <w:tr>
        <w:trPr>
          <w:trHeight w:val="315" w:hRule="atLeast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TE-PROC_R-MÍN_1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Cable de conexión con fuente de luz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</w:rPr>
              <w:t>Sí</w:t>
            </w:r>
          </w:p>
        </w:tc>
      </w:tr>
      <w:tr>
        <w:trPr>
          <w:trHeight w:val="315" w:hRule="atLeast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TE-PROC_R-MÍN_2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Suministro eléctrico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</w:rPr>
              <w:t>220-240 VAC (+/- 10%) 50/60Hz (+/- 3 Hz)</w:t>
            </w:r>
          </w:p>
        </w:tc>
      </w:tr>
      <w:tr>
        <w:trPr>
          <w:trHeight w:val="315" w:hRule="atLeast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TE-PROC_R-MÍN_3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Protección contra descargas eléctricas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</w:rPr>
              <w:t>Sí</w:t>
            </w:r>
          </w:p>
        </w:tc>
      </w:tr>
      <w:tr>
        <w:trPr>
          <w:trHeight w:val="315" w:hRule="atLeast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TE-PROC_R-MÍN_4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Función de precongelado de imagen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</w:rPr>
              <w:t>Sí</w:t>
            </w:r>
          </w:p>
        </w:tc>
      </w:tr>
      <w:tr>
        <w:trPr>
          <w:trHeight w:val="315" w:hRule="atLeast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TE-PROC_R-MÍN_5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Alta Definición (HD)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</w:rPr>
              <w:t>Sí</w:t>
            </w:r>
          </w:p>
        </w:tc>
      </w:tr>
      <w:tr>
        <w:trPr>
          <w:trHeight w:val="315" w:hRule="atLeast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TE-PROC_R-MÍN_6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Permite escalado de imagen a HD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</w:rPr>
              <w:t>Sí</w:t>
            </w:r>
          </w:p>
        </w:tc>
      </w:tr>
      <w:tr>
        <w:trPr>
          <w:trHeight w:val="315" w:hRule="atLeast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TE-PROC_R-MÍN_7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Captura de fotos desde los botones del endoscopio con grabación en dispositivo de memoria externa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</w:rPr>
              <w:t>Sí</w:t>
            </w:r>
          </w:p>
        </w:tc>
      </w:tr>
      <w:tr>
        <w:trPr>
          <w:trHeight w:val="315" w:hRule="atLeast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TE-PROC_R-MÍN_8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Posibilidad de controlar: videoimpresoras, y sistemas de clasificación de imágenes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</w:rPr>
              <w:t>Sí</w:t>
            </w:r>
          </w:p>
        </w:tc>
      </w:tr>
      <w:tr>
        <w:trPr>
          <w:trHeight w:val="315" w:hRule="atLeast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TE-PROC_R-MÍN_9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Datos mínimos que identificar en el monitor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</w:rPr>
              <w:t>nº ID paciente, nombre, edad, sexo, fecha de nacimiento, características de los endoscopios, datos de grabación (duración, hora), nº de imagen, nombre del facultativo y comentarios</w:t>
            </w:r>
          </w:p>
        </w:tc>
      </w:tr>
      <w:tr>
        <w:trPr>
          <w:trHeight w:val="315" w:hRule="atLeast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TE-PROC_R-MÍN_10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Certificado del fabricante de Inicio de Comercialización del modelo ofertado en la Unión Europea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</w:rPr>
              <w:t>Adjuntar certificado firmado</w:t>
            </w:r>
          </w:p>
        </w:tc>
      </w:tr>
      <w:tr>
        <w:trPr>
          <w:trHeight w:val="315" w:hRule="atLeast"/>
        </w:trPr>
        <w:tc>
          <w:tcPr>
            <w:tcW w:w="935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</w:r>
          </w:p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FUENTE DE LUZ</w:t>
            </w:r>
          </w:p>
        </w:tc>
      </w:tr>
      <w:tr>
        <w:trPr>
          <w:trHeight w:val="315" w:hRule="atLeast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TE-FTE_R-MÍN_1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Tipo de lámpara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</w:rPr>
              <w:t>De xenón (libre de ozono) o LED</w:t>
            </w:r>
          </w:p>
        </w:tc>
      </w:tr>
      <w:tr>
        <w:trPr>
          <w:trHeight w:val="315" w:hRule="atLeast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TE-FTE_R-MÍN_2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Suministro eléctrico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</w:rPr>
              <w:t>220-240 VAC (+/- 10%) 50/60Hz (+/- 3 Hz)</w:t>
            </w:r>
          </w:p>
        </w:tc>
      </w:tr>
      <w:tr>
        <w:trPr>
          <w:trHeight w:val="315" w:hRule="atLeast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TE-FTE_R-MÍN_3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Control automático del brillo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</w:rPr>
              <w:t>Sí</w:t>
            </w:r>
          </w:p>
        </w:tc>
      </w:tr>
      <w:tr>
        <w:trPr>
          <w:trHeight w:val="315" w:hRule="atLeast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TE-FTE_R-MÍN_4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Ajustes mantenidos aunque se apague el equipo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</w:rPr>
              <w:t>Sí</w:t>
            </w:r>
          </w:p>
        </w:tc>
      </w:tr>
      <w:tr>
        <w:trPr>
          <w:trHeight w:val="315" w:hRule="atLeast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TE-FTE_R-MÍN_5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Certificado del fabricante de Inicio de Comercialización del modelo ofertado en la Unión Europea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</w:rPr>
              <w:t>Adjuntar certificado firmado</w:t>
            </w:r>
          </w:p>
        </w:tc>
      </w:tr>
      <w:tr>
        <w:trPr>
          <w:trHeight w:val="315" w:hRule="atLeast"/>
        </w:trPr>
        <w:tc>
          <w:tcPr>
            <w:tcW w:w="935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</w:r>
          </w:p>
          <w:p>
            <w:pPr>
              <w:pStyle w:val="Normal"/>
              <w:jc w:val="left"/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CARRO ERGONÓMICO ESTRECHO PARA SISTEMAS ENDOSCÓPICOS</w:t>
            </w:r>
          </w:p>
        </w:tc>
      </w:tr>
      <w:tr>
        <w:trPr>
          <w:trHeight w:val="315" w:hRule="atLeast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TE-CAR_R-MÍN_1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Dimensiones.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</w:rPr>
              <w:t>En torno a: alto 1160 mm, ancho 655 mm, largo 800 mm</w:t>
            </w:r>
          </w:p>
        </w:tc>
      </w:tr>
      <w:tr>
        <w:trPr>
          <w:trHeight w:val="315" w:hRule="atLeast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TE-CAR_R-MÍN_2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 xml:space="preserve">Peso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</w:rPr>
              <w:t>Máximo 90 Kg.</w:t>
            </w:r>
          </w:p>
        </w:tc>
      </w:tr>
      <w:tr>
        <w:trPr>
          <w:trHeight w:val="315" w:hRule="atLeast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TE-CAR_R-MÍN_3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Ruedas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</w:rPr>
              <w:t>Mínimo 4 x 125 mm (2 con frenos)</w:t>
            </w:r>
          </w:p>
        </w:tc>
      </w:tr>
      <w:tr>
        <w:trPr>
          <w:trHeight w:val="315" w:hRule="atLeast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TE-CAR_R-MÍN_4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Bandeja de teclado antideslizante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</w:rPr>
              <w:t>Sí</w:t>
            </w:r>
          </w:p>
        </w:tc>
      </w:tr>
      <w:tr>
        <w:trPr>
          <w:trHeight w:val="315" w:hRule="atLeast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TE-CAR_R-MÍN_5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Colgador de endoscopios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</w:rPr>
              <w:t>Sí</w:t>
            </w:r>
          </w:p>
        </w:tc>
      </w:tr>
      <w:tr>
        <w:trPr>
          <w:trHeight w:val="315" w:hRule="atLeast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TE-CAR_R-MÍN_6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 xml:space="preserve">Recogedor de suelo extremo distal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</w:rPr>
              <w:t>Sí</w:t>
            </w:r>
          </w:p>
        </w:tc>
      </w:tr>
      <w:tr>
        <w:trPr>
          <w:trHeight w:val="315" w:hRule="atLeast"/>
        </w:trPr>
        <w:tc>
          <w:tcPr>
            <w:tcW w:w="935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</w:r>
          </w:p>
          <w:p>
            <w:pPr>
              <w:pStyle w:val="Normal"/>
              <w:jc w:val="left"/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BOMBA DE IRRIGACIÓN (no se precisa para la Torre de Endoscopia destinada a Neumología)</w:t>
            </w:r>
          </w:p>
        </w:tc>
      </w:tr>
      <w:tr>
        <w:trPr>
          <w:trHeight w:val="315" w:hRule="atLeast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TE-BIR_R-MÍN_1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Pedal de control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</w:rPr>
              <w:t>Sí</w:t>
            </w:r>
          </w:p>
        </w:tc>
      </w:tr>
      <w:tr>
        <w:trPr>
          <w:trHeight w:val="315" w:hRule="atLeast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TE-BIR_R-MÍN_2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Flujo regulable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</w:rPr>
              <w:t>Sí</w:t>
            </w:r>
          </w:p>
        </w:tc>
      </w:tr>
      <w:tr>
        <w:trPr>
          <w:trHeight w:val="315" w:hRule="atLeast"/>
        </w:trPr>
        <w:tc>
          <w:tcPr>
            <w:tcW w:w="935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</w:r>
          </w:p>
          <w:p>
            <w:pPr>
              <w:pStyle w:val="Normal"/>
              <w:jc w:val="left"/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INSUFLADOR DE CO2 (no se precisa para la Torre de Endoscopia destinada a Neumología)</w:t>
            </w:r>
          </w:p>
        </w:tc>
      </w:tr>
      <w:tr>
        <w:trPr>
          <w:trHeight w:val="315" w:hRule="atLeast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TE-CO2_R-MÍN_1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b/>
                <w:color w:val="000000"/>
                <w:sz w:val="18"/>
              </w:rPr>
            </w:pPr>
            <w:r>
              <w:rPr>
                <w:rFonts w:cs="Calibri"/>
                <w:b/>
                <w:color w:val="000000"/>
                <w:sz w:val="18"/>
              </w:rPr>
              <w:t>Conector estándar fuente CO2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</w:rPr>
              <w:t>Sí</w:t>
            </w:r>
          </w:p>
        </w:tc>
      </w:tr>
    </w:tbl>
    <w:p>
      <w:pPr>
        <w:pStyle w:val="Normal"/>
        <w:spacing w:before="0" w:after="0"/>
        <w:contextualSpacing/>
        <w:rPr>
          <w:rFonts w:ascii="NewsGotT" w:hAnsi="NewsGotT"/>
        </w:rPr>
      </w:pPr>
      <w:r>
        <w:rPr>
          <w:rFonts w:ascii="NewsGotT" w:hAnsi="NewsGotT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rPr>
          <w:sz w:val="24"/>
          <w:szCs w:val="24"/>
        </w:rPr>
      </w:pPr>
      <w:r>
        <w:rPr>
          <w:sz w:val="24"/>
          <w:szCs w:val="24"/>
        </w:rPr>
        <w:t>ECOENDOSCOPIO RADIAL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(ECOEND-RAD)</w:t>
      </w:r>
    </w:p>
    <w:tbl>
      <w:tblPr>
        <w:tblStyle w:val="TableNormal"/>
        <w:tblW w:w="9344" w:type="dxa"/>
        <w:jc w:val="left"/>
        <w:tblInd w:w="-43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145"/>
        <w:gridCol w:w="3545"/>
        <w:gridCol w:w="2654"/>
      </w:tblGrid>
      <w:tr>
        <w:trPr>
          <w:trHeight w:val="433" w:hRule="atLeast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6" w:before="0" w:after="0"/>
              <w:ind w:firstLine="68" w:left="0" w:right="599"/>
              <w:rPr>
                <w:b/>
                <w:sz w:val="18"/>
              </w:rPr>
            </w:pPr>
            <w:r>
              <w:rPr>
                <w:b/>
                <w:sz w:val="18"/>
              </w:rPr>
              <w:t>ECOEND-RAD_R_MÍN_1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Longitud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útil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 w:after="0"/>
              <w:ind w:left="70"/>
              <w:rPr>
                <w:sz w:val="18"/>
              </w:rPr>
            </w:pPr>
            <w:r>
              <w:rPr>
                <w:sz w:val="18"/>
              </w:rPr>
              <w:t>1250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aprox.</w:t>
            </w:r>
          </w:p>
        </w:tc>
      </w:tr>
      <w:tr>
        <w:trPr>
          <w:trHeight w:val="433" w:hRule="atLeast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6" w:before="0" w:after="0"/>
              <w:ind w:hanging="1" w:left="69" w:right="599"/>
              <w:rPr>
                <w:b/>
                <w:sz w:val="18"/>
              </w:rPr>
            </w:pPr>
            <w:r>
              <w:rPr>
                <w:b/>
                <w:sz w:val="18"/>
              </w:rPr>
              <w:t>ECOEND-RAD_R_MÍN_2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Longitud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 w:after="0"/>
              <w:ind w:left="70"/>
              <w:rPr>
                <w:sz w:val="18"/>
              </w:rPr>
            </w:pPr>
            <w:r>
              <w:rPr>
                <w:sz w:val="18"/>
              </w:rPr>
              <w:t>1550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aprox.</w:t>
            </w:r>
          </w:p>
        </w:tc>
      </w:tr>
      <w:tr>
        <w:trPr>
          <w:trHeight w:val="433" w:hRule="atLeast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6" w:before="0" w:after="0"/>
              <w:ind w:hanging="1" w:left="69" w:right="599"/>
              <w:rPr>
                <w:b/>
                <w:sz w:val="18"/>
              </w:rPr>
            </w:pPr>
            <w:r>
              <w:rPr>
                <w:b/>
                <w:sz w:val="18"/>
              </w:rPr>
              <w:t>ECOEND-RAD_R_MÍN_3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Sistema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óptico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 w:after="0"/>
              <w:ind w:left="70"/>
              <w:rPr>
                <w:sz w:val="18"/>
              </w:rPr>
            </w:pPr>
            <w:r>
              <w:rPr>
                <w:sz w:val="18"/>
              </w:rPr>
              <w:t>CMOS/CCD</w:t>
            </w:r>
          </w:p>
        </w:tc>
      </w:tr>
      <w:tr>
        <w:trPr>
          <w:trHeight w:val="436" w:hRule="atLeast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20" w:before="0" w:after="0"/>
              <w:ind w:hanging="1" w:left="69" w:right="599"/>
              <w:rPr>
                <w:b/>
                <w:sz w:val="18"/>
              </w:rPr>
            </w:pPr>
            <w:r>
              <w:rPr>
                <w:b/>
                <w:sz w:val="18"/>
              </w:rPr>
              <w:t>ECOEND-RAD_R_MÍN_4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Campo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 visión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 w:after="0"/>
              <w:ind w:left="70"/>
              <w:rPr>
                <w:sz w:val="18"/>
              </w:rPr>
            </w:pPr>
            <w:r>
              <w:rPr>
                <w:sz w:val="18"/>
              </w:rPr>
              <w:t>140º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mayor</w:t>
            </w:r>
          </w:p>
        </w:tc>
      </w:tr>
      <w:tr>
        <w:trPr>
          <w:trHeight w:val="429" w:hRule="atLeast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8" w:before="0" w:after="0"/>
              <w:ind w:hanging="1" w:left="69" w:right="599"/>
              <w:rPr>
                <w:b/>
                <w:sz w:val="18"/>
              </w:rPr>
            </w:pPr>
            <w:r>
              <w:rPr>
                <w:b/>
                <w:sz w:val="18"/>
              </w:rPr>
              <w:t>ECOEND-RAD_R_MÍN_5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6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Dirección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visión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6" w:after="0"/>
              <w:ind w:left="70"/>
              <w:rPr>
                <w:sz w:val="18"/>
              </w:rPr>
            </w:pPr>
            <w:r>
              <w:rPr>
                <w:sz w:val="18"/>
              </w:rPr>
              <w:t>Frontal</w:t>
            </w:r>
          </w:p>
        </w:tc>
      </w:tr>
      <w:tr>
        <w:trPr>
          <w:trHeight w:val="429" w:hRule="atLeast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6" w:before="0" w:after="0"/>
              <w:ind w:hanging="1" w:left="69" w:right="599"/>
              <w:rPr>
                <w:b/>
                <w:sz w:val="18"/>
              </w:rPr>
            </w:pPr>
            <w:r>
              <w:rPr>
                <w:b/>
                <w:sz w:val="18"/>
              </w:rPr>
              <w:t>ECOEND-RAD_R_MÍN_6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6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Calidad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 imagen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6" w:after="0"/>
              <w:ind w:left="70"/>
              <w:rPr>
                <w:sz w:val="18"/>
              </w:rPr>
            </w:pPr>
            <w:r>
              <w:rPr>
                <w:sz w:val="18"/>
              </w:rPr>
              <w:t>SDTV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 HDTV</w:t>
            </w:r>
          </w:p>
        </w:tc>
      </w:tr>
      <w:tr>
        <w:trPr>
          <w:trHeight w:val="434" w:hRule="atLeast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8" w:before="0" w:after="0"/>
              <w:ind w:hanging="1" w:left="69" w:right="599"/>
              <w:rPr>
                <w:b/>
                <w:sz w:val="18"/>
              </w:rPr>
            </w:pPr>
            <w:r>
              <w:rPr>
                <w:b/>
                <w:sz w:val="18"/>
              </w:rPr>
              <w:t>ECOEND-RAD_R_MÍN_7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Función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identificación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endoscopio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 w:after="0"/>
              <w:ind w:left="70"/>
              <w:rPr>
                <w:sz w:val="18"/>
              </w:rPr>
            </w:pPr>
            <w:r>
              <w:rPr>
                <w:sz w:val="18"/>
              </w:rPr>
              <w:t>Sí</w:t>
            </w:r>
          </w:p>
        </w:tc>
      </w:tr>
      <w:tr>
        <w:trPr>
          <w:trHeight w:val="432" w:hRule="atLeast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8" w:before="0" w:after="0"/>
              <w:ind w:hanging="1" w:left="69" w:right="599"/>
              <w:rPr>
                <w:b/>
                <w:sz w:val="18"/>
              </w:rPr>
            </w:pPr>
            <w:r>
              <w:rPr>
                <w:b/>
                <w:sz w:val="18"/>
              </w:rPr>
              <w:t>ECOEND-RAD_R_MÍN_8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Sistema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facilitación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inserción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 w:after="0"/>
              <w:ind w:left="70"/>
              <w:rPr>
                <w:sz w:val="18"/>
              </w:rPr>
            </w:pPr>
            <w:r>
              <w:rPr>
                <w:sz w:val="18"/>
              </w:rPr>
              <w:t>Sí</w:t>
            </w:r>
          </w:p>
        </w:tc>
      </w:tr>
      <w:tr>
        <w:trPr>
          <w:trHeight w:val="430" w:hRule="atLeast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6" w:before="0" w:after="0"/>
              <w:ind w:hanging="1" w:left="69" w:right="599"/>
              <w:rPr>
                <w:b/>
                <w:sz w:val="18"/>
              </w:rPr>
            </w:pPr>
            <w:r>
              <w:rPr>
                <w:b/>
                <w:sz w:val="18"/>
              </w:rPr>
              <w:t>ECOEND-RAD_R_MÍN_9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6" w:before="0" w:after="0"/>
              <w:ind w:left="69" w:right="512"/>
              <w:rPr>
                <w:b/>
                <w:sz w:val="18"/>
              </w:rPr>
            </w:pPr>
            <w:r>
              <w:rPr>
                <w:b/>
                <w:sz w:val="18"/>
              </w:rPr>
              <w:t>Diámetro exterior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 w:after="0"/>
              <w:ind w:left="70"/>
              <w:rPr>
                <w:sz w:val="18"/>
              </w:rPr>
            </w:pPr>
            <w:r>
              <w:rPr>
                <w:sz w:val="18"/>
              </w:rPr>
              <w:t>13,4 mm o menor</w:t>
            </w:r>
          </w:p>
        </w:tc>
      </w:tr>
      <w:tr>
        <w:trPr>
          <w:trHeight w:val="432" w:hRule="atLeast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6" w:before="0" w:after="0"/>
              <w:ind w:hanging="1" w:left="69" w:right="599"/>
              <w:rPr>
                <w:b/>
                <w:sz w:val="18"/>
              </w:rPr>
            </w:pPr>
            <w:r>
              <w:rPr>
                <w:b/>
                <w:sz w:val="18"/>
              </w:rPr>
              <w:t>ECOEND-RAD_R_MÍN_10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95" w:before="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Canal de trabajo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 w:after="0"/>
              <w:ind w:left="70"/>
              <w:rPr>
                <w:sz w:val="18"/>
              </w:rPr>
            </w:pPr>
            <w:r>
              <w:rPr>
                <w:sz w:val="18"/>
              </w:rPr>
              <w:t>2,8 mm o mayor</w:t>
            </w:r>
          </w:p>
        </w:tc>
      </w:tr>
      <w:tr>
        <w:trPr>
          <w:trHeight w:val="432" w:hRule="atLeast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6" w:before="0" w:after="0"/>
              <w:ind w:hanging="1" w:left="69" w:right="599"/>
              <w:rPr>
                <w:b/>
                <w:sz w:val="18"/>
              </w:rPr>
            </w:pPr>
            <w:r>
              <w:rPr>
                <w:b/>
                <w:sz w:val="18"/>
              </w:rPr>
              <w:t>ECOEND-RAD_R_MÍN_11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95" w:before="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Calidad de imagen ecográfica (con ecógrafo o módulo compatible)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 w:after="0"/>
              <w:ind w:left="70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</w:tr>
    </w:tbl>
    <w:p>
      <w:pPr>
        <w:pStyle w:val="Heading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rPr>
          <w:sz w:val="24"/>
          <w:szCs w:val="24"/>
        </w:rPr>
      </w:pPr>
      <w:r>
        <w:rPr>
          <w:sz w:val="24"/>
          <w:szCs w:val="24"/>
        </w:rPr>
        <w:t>ECOENDOSCOPIO SECTORIAL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(ECOEND-SEC)</w:t>
      </w:r>
    </w:p>
    <w:tbl>
      <w:tblPr>
        <w:tblStyle w:val="TableNormal"/>
        <w:tblW w:w="9344" w:type="dxa"/>
        <w:jc w:val="left"/>
        <w:tblInd w:w="-14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145"/>
        <w:gridCol w:w="3545"/>
        <w:gridCol w:w="2654"/>
      </w:tblGrid>
      <w:tr>
        <w:trPr>
          <w:trHeight w:val="433" w:hRule="atLeast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6" w:before="0" w:after="0"/>
              <w:ind w:firstLine="7" w:left="-7" w:right="599"/>
              <w:rPr>
                <w:b/>
                <w:sz w:val="18"/>
              </w:rPr>
            </w:pPr>
            <w:r>
              <w:rPr>
                <w:b/>
                <w:sz w:val="18"/>
              </w:rPr>
              <w:t>ECOEND-TER_R_MÍN_1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Longitud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útil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 w:after="0"/>
              <w:ind w:left="70"/>
              <w:rPr>
                <w:sz w:val="18"/>
              </w:rPr>
            </w:pPr>
            <w:r>
              <w:rPr>
                <w:sz w:val="18"/>
              </w:rPr>
              <w:t>1250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aprox.</w:t>
            </w:r>
          </w:p>
        </w:tc>
      </w:tr>
      <w:tr>
        <w:trPr>
          <w:trHeight w:val="433" w:hRule="atLeast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6" w:before="0" w:after="0"/>
              <w:ind w:hanging="1" w:left="69" w:right="599"/>
              <w:rPr>
                <w:b/>
                <w:sz w:val="18"/>
              </w:rPr>
            </w:pPr>
            <w:r>
              <w:rPr>
                <w:b/>
                <w:sz w:val="18"/>
              </w:rPr>
              <w:t>ECOEND-TER_R_MÍN_1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Longitud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 w:after="0"/>
              <w:ind w:left="70"/>
              <w:rPr>
                <w:sz w:val="18"/>
              </w:rPr>
            </w:pPr>
            <w:r>
              <w:rPr>
                <w:sz w:val="18"/>
              </w:rPr>
              <w:t>1550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aprox.</w:t>
            </w:r>
          </w:p>
        </w:tc>
      </w:tr>
      <w:tr>
        <w:trPr>
          <w:trHeight w:val="433" w:hRule="atLeast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6" w:before="0" w:after="0"/>
              <w:ind w:hanging="1" w:left="69" w:right="599"/>
              <w:rPr>
                <w:b/>
                <w:sz w:val="18"/>
              </w:rPr>
            </w:pPr>
            <w:r>
              <w:rPr>
                <w:b/>
                <w:sz w:val="18"/>
              </w:rPr>
              <w:t>ECOEND-TER_R_MÍN_1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Sistema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óptico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 w:after="0"/>
              <w:ind w:left="70"/>
              <w:rPr>
                <w:sz w:val="18"/>
              </w:rPr>
            </w:pPr>
            <w:r>
              <w:rPr>
                <w:sz w:val="18"/>
              </w:rPr>
              <w:t>CMOS/CCD</w:t>
            </w:r>
          </w:p>
        </w:tc>
      </w:tr>
      <w:tr>
        <w:trPr>
          <w:trHeight w:val="436" w:hRule="atLeast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20" w:before="0" w:after="0"/>
              <w:ind w:hanging="1" w:left="69" w:right="599"/>
              <w:rPr>
                <w:b/>
                <w:sz w:val="18"/>
              </w:rPr>
            </w:pPr>
            <w:r>
              <w:rPr>
                <w:b/>
                <w:sz w:val="18"/>
              </w:rPr>
              <w:t>ECOEND-TER_R_MÍN_2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Campo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 visión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 w:after="0"/>
              <w:ind w:left="70"/>
              <w:rPr>
                <w:sz w:val="18"/>
              </w:rPr>
            </w:pPr>
            <w:r>
              <w:rPr>
                <w:sz w:val="18"/>
              </w:rPr>
              <w:t>140º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mayor</w:t>
            </w:r>
          </w:p>
        </w:tc>
      </w:tr>
      <w:tr>
        <w:trPr>
          <w:trHeight w:val="429" w:hRule="atLeast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8" w:before="0" w:after="0"/>
              <w:ind w:hanging="1" w:left="69" w:right="599"/>
              <w:rPr>
                <w:b/>
                <w:sz w:val="18"/>
              </w:rPr>
            </w:pPr>
            <w:r>
              <w:rPr>
                <w:b/>
                <w:sz w:val="18"/>
              </w:rPr>
              <w:t>ECOEND-TER_R_MÍN_3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6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Dirección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visión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6" w:after="0"/>
              <w:ind w:left="70"/>
              <w:rPr>
                <w:sz w:val="18"/>
              </w:rPr>
            </w:pPr>
            <w:r>
              <w:rPr>
                <w:sz w:val="18"/>
              </w:rPr>
              <w:t>Frontal</w:t>
            </w:r>
          </w:p>
        </w:tc>
      </w:tr>
      <w:tr>
        <w:trPr>
          <w:trHeight w:val="429" w:hRule="atLeast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6" w:before="0" w:after="0"/>
              <w:ind w:hanging="1" w:left="69" w:right="599"/>
              <w:rPr>
                <w:b/>
                <w:sz w:val="18"/>
              </w:rPr>
            </w:pPr>
            <w:r>
              <w:rPr>
                <w:b/>
                <w:sz w:val="18"/>
              </w:rPr>
              <w:t>ECOEND-TER_R_MÍN_4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6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Calidad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 imagen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6" w:after="0"/>
              <w:ind w:left="70"/>
              <w:rPr>
                <w:sz w:val="18"/>
              </w:rPr>
            </w:pPr>
            <w:r>
              <w:rPr>
                <w:sz w:val="18"/>
              </w:rPr>
              <w:t>SDTV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 HDTV</w:t>
            </w:r>
          </w:p>
        </w:tc>
      </w:tr>
      <w:tr>
        <w:trPr>
          <w:trHeight w:val="434" w:hRule="atLeast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8" w:before="0" w:after="0"/>
              <w:ind w:hanging="1" w:left="69" w:right="599"/>
              <w:rPr>
                <w:b/>
                <w:sz w:val="18"/>
              </w:rPr>
            </w:pPr>
            <w:r>
              <w:rPr>
                <w:b/>
                <w:sz w:val="18"/>
              </w:rPr>
              <w:t>ECOEND-TER_R_MÍN_5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Función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identificación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endoscopio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 w:after="0"/>
              <w:ind w:left="70"/>
              <w:rPr>
                <w:sz w:val="18"/>
              </w:rPr>
            </w:pPr>
            <w:r>
              <w:rPr>
                <w:sz w:val="18"/>
              </w:rPr>
              <w:t>Sí</w:t>
            </w:r>
          </w:p>
        </w:tc>
      </w:tr>
      <w:tr>
        <w:trPr>
          <w:trHeight w:val="432" w:hRule="atLeast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8" w:before="0" w:after="0"/>
              <w:ind w:hanging="1" w:left="69" w:right="599"/>
              <w:rPr>
                <w:b/>
                <w:sz w:val="18"/>
              </w:rPr>
            </w:pPr>
            <w:r>
              <w:rPr>
                <w:b/>
                <w:sz w:val="18"/>
              </w:rPr>
              <w:t>ECOEND-TER_R_MÍN_6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Sistema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facilitación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inserción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 w:after="0"/>
              <w:ind w:left="70"/>
              <w:rPr>
                <w:sz w:val="18"/>
              </w:rPr>
            </w:pPr>
            <w:r>
              <w:rPr>
                <w:sz w:val="18"/>
              </w:rPr>
              <w:t>Sí</w:t>
            </w:r>
          </w:p>
        </w:tc>
      </w:tr>
      <w:tr>
        <w:trPr>
          <w:trHeight w:val="430" w:hRule="atLeast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6" w:before="0" w:after="0"/>
              <w:ind w:hanging="1" w:left="69" w:right="599"/>
              <w:rPr>
                <w:b/>
                <w:sz w:val="18"/>
              </w:rPr>
            </w:pPr>
            <w:r>
              <w:rPr>
                <w:b/>
                <w:sz w:val="18"/>
              </w:rPr>
              <w:t>ECOEND-TER_R_MÍN_7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6" w:before="0" w:after="0"/>
              <w:ind w:left="69" w:right="512"/>
              <w:rPr>
                <w:b/>
                <w:sz w:val="18"/>
              </w:rPr>
            </w:pPr>
            <w:r>
              <w:rPr>
                <w:b/>
                <w:sz w:val="18"/>
              </w:rPr>
              <w:t>Diámetro exterior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 w:after="0"/>
              <w:ind w:left="70"/>
              <w:rPr>
                <w:sz w:val="18"/>
              </w:rPr>
            </w:pPr>
            <w:r>
              <w:rPr>
                <w:sz w:val="18"/>
              </w:rPr>
              <w:t>14,6 mm o menor</w:t>
            </w:r>
          </w:p>
        </w:tc>
      </w:tr>
      <w:tr>
        <w:trPr>
          <w:trHeight w:val="432" w:hRule="atLeast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6" w:before="0" w:after="0"/>
              <w:ind w:hanging="1" w:left="69" w:right="599"/>
              <w:rPr>
                <w:b/>
                <w:sz w:val="18"/>
              </w:rPr>
            </w:pPr>
            <w:r>
              <w:rPr>
                <w:b/>
                <w:sz w:val="18"/>
              </w:rPr>
              <w:t>ECOEND-TER_R_MÍN_8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95" w:before="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Canal de trabajo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 w:after="0"/>
              <w:ind w:left="70"/>
              <w:rPr>
                <w:sz w:val="18"/>
              </w:rPr>
            </w:pPr>
            <w:r>
              <w:rPr>
                <w:sz w:val="18"/>
              </w:rPr>
              <w:t>3,7 o mayor</w:t>
            </w:r>
          </w:p>
        </w:tc>
      </w:tr>
      <w:tr>
        <w:trPr>
          <w:trHeight w:val="432" w:hRule="atLeast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6" w:before="0" w:after="0"/>
              <w:ind w:hanging="1" w:left="69" w:right="599"/>
              <w:rPr>
                <w:b/>
                <w:sz w:val="18"/>
              </w:rPr>
            </w:pPr>
            <w:r>
              <w:rPr>
                <w:b/>
                <w:sz w:val="18"/>
              </w:rPr>
              <w:t>ECOEND-TER_R_MÍN_9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95" w:before="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Calidad de imagen ecográfica (con ecógrafo o módulo compatible)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 w:after="0"/>
              <w:ind w:left="70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rPr>
          <w:sz w:val="24"/>
          <w:szCs w:val="24"/>
        </w:rPr>
      </w:pPr>
      <w:r>
        <w:rPr>
          <w:sz w:val="24"/>
          <w:szCs w:val="24"/>
        </w:rPr>
        <w:t>ECÓGRAFO COMPATIBLE (ECOG-COMP)</w:t>
      </w:r>
    </w:p>
    <w:tbl>
      <w:tblPr>
        <w:tblStyle w:val="TableNormal"/>
        <w:tblW w:w="9344" w:type="dxa"/>
        <w:jc w:val="left"/>
        <w:tblInd w:w="-14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145"/>
        <w:gridCol w:w="3545"/>
        <w:gridCol w:w="2654"/>
      </w:tblGrid>
      <w:tr>
        <w:trPr>
          <w:trHeight w:val="433" w:hRule="atLeast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6" w:before="0" w:after="0"/>
              <w:ind w:hanging="1" w:left="69" w:right="599"/>
              <w:rPr>
                <w:b/>
                <w:sz w:val="18"/>
              </w:rPr>
            </w:pPr>
            <w:r>
              <w:rPr>
                <w:b/>
                <w:sz w:val="18"/>
              </w:rPr>
              <w:t>ECO-COMP_R_MÍN_1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Compatible con ecoendoscopio radial y terapéutico incluido en el presente PPT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 w:after="0"/>
              <w:ind w:left="70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</w:tr>
      <w:tr>
        <w:trPr>
          <w:trHeight w:val="433" w:hRule="atLeast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6" w:before="0" w:after="0"/>
              <w:ind w:hanging="1" w:left="69" w:right="599"/>
              <w:rPr>
                <w:b/>
                <w:sz w:val="18"/>
              </w:rPr>
            </w:pPr>
            <w:r>
              <w:rPr>
                <w:b/>
                <w:sz w:val="18"/>
              </w:rPr>
              <w:t>ECO-COMP_R_MÍN_2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Inclusión de sonda abdominal compatible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 w:after="0"/>
              <w:ind w:left="70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</w:tr>
      <w:tr>
        <w:trPr>
          <w:trHeight w:val="433" w:hRule="atLeast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6" w:before="0" w:after="0"/>
              <w:ind w:hanging="1" w:left="69" w:right="599"/>
              <w:rPr>
                <w:b/>
                <w:sz w:val="18"/>
              </w:rPr>
            </w:pPr>
            <w:r>
              <w:rPr>
                <w:b/>
                <w:sz w:val="18"/>
              </w:rPr>
              <w:t>ECO-COMP_R_MÍN_3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Certificado del fabricante de inicio de comercialización en la UE del modelo de ecógrafo ofertado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 w:after="0"/>
              <w:ind w:left="70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</w:tr>
      <w:tr>
        <w:trPr>
          <w:trHeight w:val="436" w:hRule="atLeast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20" w:before="0" w:after="0"/>
              <w:ind w:hanging="1" w:left="69" w:right="599"/>
              <w:rPr>
                <w:b/>
                <w:sz w:val="18"/>
              </w:rPr>
            </w:pPr>
            <w:r>
              <w:rPr>
                <w:b/>
                <w:sz w:val="18"/>
              </w:rPr>
              <w:t>ECO-COMP_R_MÍN_4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Carro ergonómico incorporado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 w:after="0"/>
              <w:ind w:left="70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</w:tr>
      <w:tr>
        <w:trPr>
          <w:trHeight w:val="429" w:hRule="atLeast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8" w:before="0" w:after="0"/>
              <w:ind w:hanging="1" w:left="69" w:right="599"/>
              <w:rPr>
                <w:b/>
                <w:sz w:val="18"/>
              </w:rPr>
            </w:pPr>
            <w:r>
              <w:rPr>
                <w:b/>
                <w:sz w:val="18"/>
              </w:rPr>
              <w:t>ECO-COMP_R_MÍN_5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6" w:after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Monitor de alta resolución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6" w:after="0"/>
              <w:ind w:left="70"/>
              <w:rPr>
                <w:sz w:val="18"/>
              </w:rPr>
            </w:pPr>
            <w:r>
              <w:rPr>
                <w:sz w:val="18"/>
              </w:rPr>
              <w:t>21” o superior</w:t>
            </w:r>
          </w:p>
        </w:tc>
      </w:tr>
      <w:tr>
        <w:trPr>
          <w:trHeight w:val="429" w:hRule="atLeast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6" w:before="0" w:after="0"/>
              <w:ind w:hanging="1" w:left="69" w:right="599"/>
              <w:rPr>
                <w:b/>
                <w:sz w:val="18"/>
              </w:rPr>
            </w:pPr>
            <w:r>
              <w:rPr>
                <w:b/>
                <w:sz w:val="18"/>
              </w:rPr>
              <w:t>ECO-COMP_R_MÍN_6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6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Elastrografía en tiempo real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6" w:after="0"/>
              <w:ind w:left="70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</w:tr>
      <w:tr>
        <w:trPr>
          <w:trHeight w:val="434" w:hRule="atLeast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8" w:before="0" w:after="0"/>
              <w:ind w:hanging="1" w:left="69" w:right="599"/>
              <w:rPr>
                <w:b/>
                <w:sz w:val="18"/>
              </w:rPr>
            </w:pPr>
            <w:r>
              <w:rPr>
                <w:b/>
                <w:sz w:val="18"/>
              </w:rPr>
              <w:t>ECO-COMP_R_MÍN_7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Contraste armónico incluyendo mapa de tiempos de entrada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 w:after="0"/>
              <w:ind w:left="70"/>
              <w:rPr>
                <w:sz w:val="18"/>
              </w:rPr>
            </w:pPr>
            <w:r>
              <w:rPr>
                <w:sz w:val="18"/>
              </w:rPr>
              <w:t>Sí</w:t>
            </w:r>
          </w:p>
        </w:tc>
      </w:tr>
      <w:tr>
        <w:trPr>
          <w:trHeight w:val="432" w:hRule="atLeast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8" w:before="0" w:after="0"/>
              <w:ind w:hanging="1" w:left="69" w:right="599"/>
              <w:rPr>
                <w:b/>
                <w:sz w:val="18"/>
              </w:rPr>
            </w:pPr>
            <w:r>
              <w:rPr>
                <w:b/>
                <w:sz w:val="18"/>
              </w:rPr>
              <w:t>ECO-COMP_R_MÍN_8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Grabación de imágenes en diferentes formatos y video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 w:after="0"/>
              <w:ind w:left="70"/>
              <w:rPr>
                <w:sz w:val="18"/>
              </w:rPr>
            </w:pPr>
            <w:r>
              <w:rPr>
                <w:sz w:val="18"/>
              </w:rPr>
              <w:t>Sí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2268" w:footer="567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Segoe UI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NewsGotT">
    <w:charset w:val="00"/>
    <w:family w:val="roman"/>
    <w:pitch w:val="variable"/>
  </w:font>
  <w:font w:name="Arial">
    <w:charset w:val="00"/>
    <w:family w:val="roman"/>
    <w:pitch w:val="variable"/>
  </w:font>
  <w:font w:name="Source Sans Pro">
    <w:charset w:val="00"/>
    <w:family w:val="roman"/>
    <w:pitch w:val="variable"/>
  </w:font>
  <w:font w:name="Source Sans Pro Semibold">
    <w:charset w:val="00"/>
    <w:family w:val="roman"/>
    <w:pitch w:val="variable"/>
  </w:font>
  <w:font w:name="Source Sans Pro Black">
    <w:charset w:val="00"/>
    <w:family w:val="roman"/>
    <w:pitch w:val="variable"/>
  </w:font>
  <w:font w:name="Eras Md B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ab/>
    </w:r>
    <w:r>
      <w:rPr>
        <w:rFonts w:ascii="Eras Md BT" w:hAnsi="Eras Md BT"/>
        <w:color w:val="007A3D"/>
        <w:sz w:val="16"/>
      </w:rPr>
      <w:t xml:space="preserve">Página </w:t>
    </w:r>
    <w:r>
      <w:rPr>
        <w:rFonts w:ascii="Eras Md BT" w:hAnsi="Eras Md BT"/>
        <w:sz w:val="16"/>
      </w:rPr>
      <w:fldChar w:fldCharType="begin"/>
    </w:r>
    <w:r>
      <w:rPr>
        <w:sz w:val="16"/>
        <w:rFonts w:ascii="Eras Md BT" w:hAnsi="Eras Md BT"/>
      </w:rPr>
      <w:instrText xml:space="preserve"> PAGE </w:instrText>
    </w:r>
    <w:r>
      <w:rPr>
        <w:sz w:val="16"/>
        <w:rFonts w:ascii="Eras Md BT" w:hAnsi="Eras Md BT"/>
      </w:rPr>
      <w:fldChar w:fldCharType="separate"/>
    </w:r>
    <w:r>
      <w:rPr>
        <w:sz w:val="16"/>
        <w:rFonts w:ascii="Eras Md BT" w:hAnsi="Eras Md BT"/>
      </w:rPr>
      <w:t>3</w:t>
    </w:r>
    <w:r>
      <w:rPr>
        <w:sz w:val="16"/>
        <w:rFonts w:ascii="Eras Md BT" w:hAnsi="Eras Md BT"/>
      </w:rPr>
      <w:fldChar w:fldCharType="end"/>
    </w:r>
    <w:r>
      <w:rPr>
        <w:lang w:val="es-ES"/>
      </w:rPr>
      <w:t xml:space="preserve"> </w:t>
    </w:r>
    <w:r>
      <w:rPr>
        <w:rFonts w:ascii="Eras Md BT" w:hAnsi="Eras Md BT"/>
        <w:color w:val="007A3D"/>
        <w:sz w:val="16"/>
      </w:rPr>
      <w:t xml:space="preserve">de </w:t>
    </w:r>
    <w:r>
      <w:rPr>
        <w:rFonts w:ascii="Eras Md BT" w:hAnsi="Eras Md BT"/>
        <w:sz w:val="16"/>
      </w:rPr>
      <w:fldChar w:fldCharType="begin"/>
    </w:r>
    <w:r>
      <w:rPr>
        <w:sz w:val="16"/>
        <w:rFonts w:ascii="Eras Md BT" w:hAnsi="Eras Md BT"/>
      </w:rPr>
      <w:instrText xml:space="preserve"> NUMPAGES </w:instrText>
    </w:r>
    <w:r>
      <w:rPr>
        <w:sz w:val="16"/>
        <w:rFonts w:ascii="Eras Md BT" w:hAnsi="Eras Md BT"/>
      </w:rPr>
      <w:fldChar w:fldCharType="separate"/>
    </w:r>
    <w:r>
      <w:rPr>
        <w:sz w:val="16"/>
        <w:rFonts w:ascii="Eras Md BT" w:hAnsi="Eras Md BT"/>
      </w:rPr>
      <w:t>3</w:t>
    </w:r>
    <w:r>
      <w:rPr>
        <w:sz w:val="16"/>
        <w:rFonts w:ascii="Eras Md BT" w:hAnsi="Eras Md BT"/>
      </w:rPr>
      <w:fldChar w:fldCharType="end"/>
    </w:r>
  </w:p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left" w:pos="0" w:leader="none"/>
        <w:tab w:val="left" w:pos="1305" w:leader="none"/>
      </w:tabs>
      <w:rPr/>
    </w:pPr>
    <w:r>
      <w:drawing>
        <wp:anchor behindDoc="0" distT="0" distB="0" distL="114300" distR="114300" simplePos="0" locked="0" layoutInCell="0" allowOverlap="1" relativeHeight="4">
          <wp:simplePos x="0" y="0"/>
          <wp:positionH relativeFrom="column">
            <wp:posOffset>-533400</wp:posOffset>
          </wp:positionH>
          <wp:positionV relativeFrom="page">
            <wp:posOffset>321310</wp:posOffset>
          </wp:positionV>
          <wp:extent cx="1259840" cy="713740"/>
          <wp:effectExtent l="0" t="0" r="0" b="0"/>
          <wp:wrapThrough wrapText="bothSides">
            <wp:wrapPolygon edited="0">
              <wp:start x="9141" y="0"/>
              <wp:lineTo x="5651" y="12295"/>
              <wp:lineTo x="-8" y="17676"/>
              <wp:lineTo x="-8" y="20745"/>
              <wp:lineTo x="21337" y="20745"/>
              <wp:lineTo x="21337" y="17676"/>
              <wp:lineTo x="15670" y="12295"/>
              <wp:lineTo x="13056" y="0"/>
              <wp:lineTo x="9141" y="0"/>
            </wp:wrapPolygon>
          </wp:wrapThrough>
          <wp:docPr id="1" name="Placeholder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aceholder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713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368300" distL="114300" distR="129540" simplePos="0" locked="0" layoutInCell="0" allowOverlap="1" relativeHeight="9" wp14:anchorId="5CD58A8F">
              <wp:simplePos x="0" y="0"/>
              <wp:positionH relativeFrom="column">
                <wp:posOffset>3505835</wp:posOffset>
              </wp:positionH>
              <wp:positionV relativeFrom="page">
                <wp:posOffset>298450</wp:posOffset>
              </wp:positionV>
              <wp:extent cx="2346960" cy="791845"/>
              <wp:effectExtent l="0" t="635" r="0" b="0"/>
              <wp:wrapTopAndBottom/>
              <wp:docPr id="2" name="Cuadro de text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6840" cy="79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cera-Consejera"/>
                            <w:jc w:val="right"/>
                            <w:rPr/>
                          </w:pPr>
                          <w:r>
                            <w:rPr/>
                            <w:t>Consejería de Salud y Consumo</w:t>
                          </w:r>
                        </w:p>
                        <w:p>
                          <w:pPr>
                            <w:pStyle w:val="Cabecera-Centrodirectivo"/>
                            <w:jc w:val="right"/>
                            <w:rPr/>
                          </w:pPr>
                          <w:r>
                            <w:rPr/>
                            <w:t>Servicio Andaluz de Salud</w:t>
                          </w:r>
                        </w:p>
                      </w:txbxContent>
                    </wps:txbx>
                    <wps:bodyPr lIns="0" rIns="0" tIns="0" bIns="0" anchor="ctr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3" path="m0,0l-2147483645,0l-2147483645,-2147483646l0,-2147483646xe" stroked="f" o:allowincell="f" style="position:absolute;margin-left:276.05pt;margin-top:23.5pt;width:184.75pt;height:62.3pt;mso-wrap-style:square;v-text-anchor:middle;mso-position-vertical-relative:page" wp14:anchorId="5CD58A8F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abecera-Consejera"/>
                      <w:jc w:val="right"/>
                      <w:rPr/>
                    </w:pPr>
                    <w:r>
                      <w:rPr/>
                      <w:t>Consejería de Salud y Consumo</w:t>
                    </w:r>
                  </w:p>
                  <w:p>
                    <w:pPr>
                      <w:pStyle w:val="Cabecera-Centrodirectivo"/>
                      <w:jc w:val="right"/>
                      <w:rPr/>
                    </w:pPr>
                    <w:r>
                      <w:rPr/>
                      <w:t>Servicio Andaluz de Salud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utoRedefine/>
    <w:qFormat/>
    <w:rsid w:val="00371e5c"/>
    <w:pPr>
      <w:widowControl/>
      <w:tabs>
        <w:tab w:val="clear" w:pos="709"/>
        <w:tab w:val="left" w:pos="0" w:leader="none"/>
      </w:tabs>
      <w:bidi w:val="0"/>
      <w:spacing w:before="0" w:after="0"/>
      <w:jc w:val="both"/>
    </w:pPr>
    <w:rPr>
      <w:rFonts w:ascii="Tahoma" w:hAnsi="Tahoma" w:eastAsia="Times New Roman" w:cs="Tahoma"/>
      <w:color w:val="auto"/>
      <w:kern w:val="0"/>
      <w:sz w:val="24"/>
      <w:szCs w:val="20"/>
      <w:lang w:val="es-ES_tradnl" w:eastAsia="es-ES" w:bidi="ar-SA"/>
    </w:rPr>
  </w:style>
  <w:style w:type="paragraph" w:styleId="Heading1">
    <w:name w:val="Heading 1"/>
    <w:basedOn w:val="Header"/>
    <w:next w:val="BodyText"/>
    <w:qFormat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Header"/>
    <w:next w:val="BodyText"/>
    <w:qFormat/>
    <w:pPr>
      <w:spacing w:before="200" w:after="0"/>
      <w:outlineLvl w:val="1"/>
    </w:pPr>
    <w:rPr>
      <w:b/>
      <w:bCs/>
      <w:sz w:val="32"/>
      <w:szCs w:val="32"/>
    </w:rPr>
  </w:style>
  <w:style w:type="paragraph" w:styleId="Heading3">
    <w:name w:val="Heading 3"/>
    <w:basedOn w:val="Header"/>
    <w:next w:val="BodyText"/>
    <w:qFormat/>
    <w:pPr>
      <w:spacing w:before="140" w:after="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743e86"/>
    <w:rPr/>
  </w:style>
  <w:style w:type="character" w:styleId="PiedepginaCar" w:customStyle="1">
    <w:name w:val="Pie de página Car"/>
    <w:basedOn w:val="DefaultParagraphFont"/>
    <w:uiPriority w:val="99"/>
    <w:qFormat/>
    <w:rsid w:val="00743e86"/>
    <w:rPr/>
  </w:style>
  <w:style w:type="character" w:styleId="TextoindependienteCar" w:customStyle="1">
    <w:name w:val="Texto independiente Car"/>
    <w:basedOn w:val="DefaultParagraphFont"/>
    <w:qFormat/>
    <w:rsid w:val="00371e5c"/>
    <w:rPr>
      <w:rFonts w:ascii="Tahoma" w:hAnsi="Tahoma" w:eastAsia="Times New Roman" w:cs="Tahoma"/>
      <w:sz w:val="24"/>
      <w:szCs w:val="20"/>
      <w:lang w:val="es-ES_tradnl" w:eastAsia="es-ES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a3903"/>
    <w:rPr>
      <w:rFonts w:ascii="Segoe UI" w:hAnsi="Segoe UI" w:eastAsia="Times New Roman" w:cs="Segoe UI"/>
      <w:sz w:val="18"/>
      <w:szCs w:val="18"/>
      <w:lang w:val="es-ES_tradnl" w:eastAsia="es-ES"/>
    </w:rPr>
  </w:style>
  <w:style w:type="character" w:styleId="Pagenumber">
    <w:name w:val="page number"/>
    <w:basedOn w:val="DefaultParagraphFont"/>
    <w:qFormat/>
    <w:rPr/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0" w:customStyle="1">
    <w:name w:val="WW8Num16z0"/>
    <w:qFormat/>
    <w:rPr>
      <w:rFonts w:ascii="Symbol" w:hAnsi="Symbol" w:cs="Symbol"/>
    </w:rPr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Verdana" w:hAnsi="Verdana" w:eastAsia="Times New Roman" w:cs="Arial Unicode MS"/>
    </w:rPr>
  </w:style>
  <w:style w:type="character" w:styleId="WW8Num12z8" w:customStyle="1">
    <w:name w:val="WW8Num12z8"/>
    <w:qFormat/>
    <w:rPr/>
  </w:style>
  <w:style w:type="character" w:styleId="WW8Num12z7" w:customStyle="1">
    <w:name w:val="WW8Num12z7"/>
    <w:qFormat/>
    <w:rPr/>
  </w:style>
  <w:style w:type="character" w:styleId="WW8Num12z6" w:customStyle="1">
    <w:name w:val="WW8Num12z6"/>
    <w:qFormat/>
    <w:rPr/>
  </w:style>
  <w:style w:type="character" w:styleId="WW8Num12z5" w:customStyle="1">
    <w:name w:val="WW8Num12z5"/>
    <w:qFormat/>
    <w:rPr/>
  </w:style>
  <w:style w:type="character" w:styleId="WW8Num12z4" w:customStyle="1">
    <w:name w:val="WW8Num12z4"/>
    <w:qFormat/>
    <w:rPr/>
  </w:style>
  <w:style w:type="character" w:styleId="WW8Num12z3" w:customStyle="1">
    <w:name w:val="WW8Num12z3"/>
    <w:qFormat/>
    <w:rPr/>
  </w:style>
  <w:style w:type="character" w:styleId="WW8Num12z2" w:customStyle="1">
    <w:name w:val="WW8Num12z2"/>
    <w:qFormat/>
    <w:rPr/>
  </w:style>
  <w:style w:type="character" w:styleId="WW8Num12z1" w:customStyle="1">
    <w:name w:val="WW8Num12z1"/>
    <w:qFormat/>
    <w:rPr/>
  </w:style>
  <w:style w:type="character" w:styleId="WW8Num12z0" w:customStyle="1">
    <w:name w:val="WW8Num12z0"/>
    <w:qFormat/>
    <w:rPr>
      <w:rFonts w:ascii="Wingdings" w:hAnsi="Wingdings" w:cs="Wingdings"/>
      <w:color w:val="000000"/>
    </w:rPr>
  </w:style>
  <w:style w:type="character" w:styleId="WW8Num11z8" w:customStyle="1">
    <w:name w:val="WW8Num11z8"/>
    <w:qFormat/>
    <w:rPr/>
  </w:style>
  <w:style w:type="character" w:styleId="WW8Num11z7" w:customStyle="1">
    <w:name w:val="WW8Num11z7"/>
    <w:qFormat/>
    <w:rPr/>
  </w:style>
  <w:style w:type="character" w:styleId="WW8Num11z6" w:customStyle="1">
    <w:name w:val="WW8Num11z6"/>
    <w:qFormat/>
    <w:rPr/>
  </w:style>
  <w:style w:type="character" w:styleId="WW8Num11z5" w:customStyle="1">
    <w:name w:val="WW8Num11z5"/>
    <w:qFormat/>
    <w:rPr/>
  </w:style>
  <w:style w:type="character" w:styleId="WW8Num11z4" w:customStyle="1">
    <w:name w:val="WW8Num11z4"/>
    <w:qFormat/>
    <w:rPr/>
  </w:style>
  <w:style w:type="character" w:styleId="WW8Num11z3" w:customStyle="1">
    <w:name w:val="WW8Num11z3"/>
    <w:qFormat/>
    <w:rPr/>
  </w:style>
  <w:style w:type="character" w:styleId="WW8Num11z2" w:customStyle="1">
    <w:name w:val="WW8Num11z2"/>
    <w:qFormat/>
    <w:rPr/>
  </w:style>
  <w:style w:type="character" w:styleId="WW8Num11z1" w:customStyle="1">
    <w:name w:val="WW8Num11z1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0z8" w:customStyle="1">
    <w:name w:val="WW8Num10z8"/>
    <w:qFormat/>
    <w:rPr/>
  </w:style>
  <w:style w:type="character" w:styleId="WW8Num10z7" w:customStyle="1">
    <w:name w:val="WW8Num10z7"/>
    <w:qFormat/>
    <w:rPr/>
  </w:style>
  <w:style w:type="character" w:styleId="WW8Num10z6" w:customStyle="1">
    <w:name w:val="WW8Num10z6"/>
    <w:qFormat/>
    <w:rPr/>
  </w:style>
  <w:style w:type="character" w:styleId="WW8Num10z5" w:customStyle="1">
    <w:name w:val="WW8Num10z5"/>
    <w:qFormat/>
    <w:rPr/>
  </w:style>
  <w:style w:type="character" w:styleId="WW8Num10z4" w:customStyle="1">
    <w:name w:val="WW8Num10z4"/>
    <w:qFormat/>
    <w:rPr/>
  </w:style>
  <w:style w:type="character" w:styleId="WW8Num10z3" w:customStyle="1">
    <w:name w:val="WW8Num10z3"/>
    <w:qFormat/>
    <w:rPr/>
  </w:style>
  <w:style w:type="character" w:styleId="WW8Num10z2" w:customStyle="1">
    <w:name w:val="WW8Num10z2"/>
    <w:qFormat/>
    <w:rPr/>
  </w:style>
  <w:style w:type="character" w:styleId="WW8Num10z1" w:customStyle="1">
    <w:name w:val="WW8Num10z1"/>
    <w:qFormat/>
    <w:rPr/>
  </w:style>
  <w:style w:type="character" w:styleId="WW8Num10z0" w:customStyle="1">
    <w:name w:val="WW8Num10z0"/>
    <w:qFormat/>
    <w:rPr>
      <w:b w:val="false"/>
      <w:i/>
      <w:u w:val="none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0" w:customStyle="1">
    <w:name w:val="WW8Num9z0"/>
    <w:qFormat/>
    <w:rPr>
      <w:rFonts w:ascii="Wingdings" w:hAnsi="Wingdings" w:cs="Wingdings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>
      <w:rFonts w:ascii="Wingdings" w:hAnsi="Wingdings" w:cs="Wingdings"/>
    </w:rPr>
  </w:style>
  <w:style w:type="character" w:styleId="WW8Num6z0" w:customStyle="1">
    <w:name w:val="WW8Num6z0"/>
    <w:qFormat/>
    <w:rPr/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>
      <w:rFonts w:ascii="Wingdings" w:hAnsi="Wingdings" w:cs="Wingdings"/>
    </w:rPr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0" w:customStyle="1">
    <w:name w:val="WW8Num4z0"/>
    <w:qFormat/>
    <w:rPr>
      <w:rFonts w:ascii="Verdana" w:hAnsi="Verdana" w:cs="Arial Unicode MS"/>
    </w:rPr>
  </w:style>
  <w:style w:type="character" w:styleId="WW8Num3z0" w:customStyle="1">
    <w:name w:val="WW8Num3z0"/>
    <w:qFormat/>
    <w:rPr>
      <w:rFonts w:ascii="Wingdings" w:hAnsi="Wingdings" w:cs="Wingdings"/>
    </w:rPr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>
      <w:rFonts w:ascii="Wingdings" w:hAnsi="Wingdings" w:cs="Wingdings"/>
    </w:rPr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xtoindependienteCar"/>
    <w:rsid w:val="00371e5c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next w:val="BodyText"/>
    <w:link w:val="EncabezadoCar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Footer">
    <w:name w:val="Footer"/>
    <w:basedOn w:val="Normal"/>
    <w:link w:val="PiedepginaCar"/>
    <w:uiPriority w:val="99"/>
    <w:unhideWhenUsed/>
    <w:rsid w:val="00743e86"/>
    <w:pPr>
      <w:tabs>
        <w:tab w:val="left" w:pos="0" w:leader="none"/>
        <w:tab w:val="center" w:pos="4252" w:leader="none"/>
        <w:tab w:val="right" w:pos="8504" w:leader="none"/>
      </w:tabs>
    </w:pPr>
    <w:rPr/>
  </w:style>
  <w:style w:type="paragraph" w:styleId="Textodenotaalfinal" w:customStyle="1">
    <w:name w:val="Texto de nota al final"/>
    <w:basedOn w:val="Normal"/>
    <w:qFormat/>
    <w:rsid w:val="00371e5c"/>
    <w:pPr>
      <w:widowControl w:val="false"/>
    </w:pPr>
    <w:rPr>
      <w:rFonts w:ascii="Courier New" w:hAnsi="Courier New"/>
    </w:rPr>
  </w:style>
  <w:style w:type="paragraph" w:styleId="1Tit" w:customStyle="1">
    <w:name w:val="1. Tit"/>
    <w:basedOn w:val="Normal"/>
    <w:next w:val="Normal"/>
    <w:autoRedefine/>
    <w:qFormat/>
    <w:rsid w:val="006e0cab"/>
    <w:pPr/>
    <w:rPr>
      <w:rFonts w:ascii="NewsGotT" w:hAnsi="NewsGotT"/>
      <w:b/>
      <w:caps/>
      <w:szCs w:val="24"/>
    </w:rPr>
  </w:style>
  <w:style w:type="paragraph" w:styleId="11Tit" w:customStyle="1">
    <w:name w:val="1.1 Tit"/>
    <w:basedOn w:val="Normal"/>
    <w:next w:val="Normal"/>
    <w:autoRedefine/>
    <w:qFormat/>
    <w:rsid w:val="00371e5c"/>
    <w:pPr/>
    <w:rPr>
      <w:b/>
      <w:sz w:val="20"/>
      <w:u w:val="single"/>
    </w:rPr>
  </w:style>
  <w:style w:type="paragraph" w:styleId="S51Tit" w:customStyle="1">
    <w:name w:val="S5_1. Tit"/>
    <w:basedOn w:val="Normal"/>
    <w:next w:val="Normal"/>
    <w:autoRedefine/>
    <w:qFormat/>
    <w:rsid w:val="00371e5c"/>
    <w:pPr>
      <w:tabs>
        <w:tab w:val="clear" w:pos="0"/>
      </w:tabs>
      <w:suppressAutoHyphens w:val="true"/>
    </w:pPr>
    <w:rPr>
      <w:b/>
      <w:color w:val="000000"/>
      <w:sz w:val="20"/>
      <w:u w:val="single"/>
    </w:rPr>
  </w:style>
  <w:style w:type="paragraph" w:styleId="S111Tit" w:customStyle="1">
    <w:name w:val="S1_1.1 Tit"/>
    <w:basedOn w:val="Normal"/>
    <w:qFormat/>
    <w:rsid w:val="00371e5c"/>
    <w:pPr/>
    <w:rPr/>
  </w:style>
  <w:style w:type="paragraph" w:styleId="S1111Tit" w:customStyle="1">
    <w:name w:val="S1_1.1.1 Tit"/>
    <w:basedOn w:val="Normal"/>
    <w:qFormat/>
    <w:rsid w:val="00371e5c"/>
    <w:pPr/>
    <w:rPr/>
  </w:style>
  <w:style w:type="paragraph" w:styleId="BalloonText">
    <w:name w:val="Balloon Text"/>
    <w:basedOn w:val="Normal"/>
    <w:link w:val="TextodegloboCar"/>
    <w:qFormat/>
    <w:pPr/>
    <w:rPr>
      <w:sz w:val="16"/>
      <w:szCs w:val="16"/>
    </w:rPr>
  </w:style>
  <w:style w:type="paragraph" w:styleId="Textoindependiente21" w:customStyle="1">
    <w:name w:val="Texto independiente 21"/>
    <w:basedOn w:val="Normal"/>
    <w:qFormat/>
    <w:pPr>
      <w:spacing w:before="120" w:after="0"/>
    </w:pPr>
    <w:rPr>
      <w:rFonts w:ascii="Times New Roman" w:hAnsi="Times New Roman" w:eastAsia="Calibri" w:cs="Times New Roman"/>
      <w:color w:val="000000"/>
      <w:sz w:val="18"/>
      <w:lang w:eastAsia="zh-CN"/>
    </w:rPr>
  </w:style>
  <w:style w:type="paragraph" w:styleId="Subtitle">
    <w:name w:val="Subtitle"/>
    <w:basedOn w:val="Header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Quote">
    <w:name w:val="Quote"/>
    <w:basedOn w:val="Normal"/>
    <w:qFormat/>
    <w:pPr>
      <w:spacing w:before="0" w:after="283"/>
      <w:ind w:left="567" w:right="567"/>
    </w:pPr>
    <w:rPr/>
  </w:style>
  <w:style w:type="paragraph" w:styleId="Encabezadodelatabla" w:customStyle="1">
    <w:name w:val="Encabezado de la tabla"/>
    <w:basedOn w:val="Contenidodelatabla"/>
    <w:qFormat/>
    <w:pPr>
      <w:jc w:val="center"/>
    </w:pPr>
    <w:rPr>
      <w:b/>
      <w:b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stiloJGG" w:customStyle="1">
    <w:name w:val="EstiloJGG"/>
    <w:basedOn w:val="Normal"/>
    <w:qFormat/>
    <w:pPr/>
    <w:rPr>
      <w:rFonts w:ascii="Arial" w:hAnsi="Arial" w:cs="Arial"/>
      <w:kern w:val="2"/>
    </w:rPr>
  </w:style>
  <w:style w:type="paragraph" w:styleId="Contenidodelmarco" w:customStyle="1">
    <w:name w:val="Contenido del marco"/>
    <w:basedOn w:val="Normal"/>
    <w:qFormat/>
    <w:pPr/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BodyTextIndent3">
    <w:name w:val="Body Text Indent 3"/>
    <w:basedOn w:val="Normal"/>
    <w:qFormat/>
    <w:pPr>
      <w:suppressAutoHyphens w:val="true"/>
      <w:ind w:hanging="142" w:left="1560"/>
    </w:pPr>
    <w:rPr>
      <w:rFonts w:ascii="Arial" w:hAnsi="Arial" w:cs="Times New Roman"/>
      <w:spacing w:val="-3"/>
      <w:sz w:val="20"/>
    </w:rPr>
  </w:style>
  <w:style w:type="paragraph" w:styleId="ListParagraph">
    <w:name w:val="List Paragraph"/>
    <w:basedOn w:val="Normal"/>
    <w:uiPriority w:val="34"/>
    <w:qFormat/>
    <w:rsid w:val="003d349d"/>
    <w:pPr>
      <w:spacing w:before="0" w:after="0"/>
      <w:ind w:left="720"/>
      <w:contextualSpacing/>
    </w:pPr>
    <w:rPr/>
  </w:style>
  <w:style w:type="paragraph" w:styleId="Cabecera-Centrodirectivo" w:customStyle="1">
    <w:name w:val="Cabecera - Centro directivo"/>
    <w:autoRedefine/>
    <w:qFormat/>
    <w:rsid w:val="00db7a97"/>
    <w:pPr>
      <w:widowControl/>
      <w:bidi w:val="0"/>
      <w:spacing w:before="40" w:after="0"/>
      <w:jc w:val="left"/>
    </w:pPr>
    <w:rPr>
      <w:rFonts w:ascii="Source Sans Pro" w:hAnsi="Source Sans Pro" w:eastAsia="Noto Sans HK" w:cs="Times New Roman"/>
      <w:color w:val="auto"/>
      <w:kern w:val="0"/>
      <w:sz w:val="18"/>
      <w:szCs w:val="16"/>
      <w:lang w:eastAsia="en-US" w:bidi="ar-SA" w:val="es-ES"/>
    </w:rPr>
  </w:style>
  <w:style w:type="paragraph" w:styleId="Cabecera-Consejera" w:customStyle="1">
    <w:name w:val="Cabecera - Consejería"/>
    <w:next w:val="Cabecera-Centrodirectivo"/>
    <w:autoRedefine/>
    <w:qFormat/>
    <w:rsid w:val="00db7a97"/>
    <w:pPr>
      <w:widowControl/>
      <w:bidi w:val="0"/>
      <w:spacing w:before="0" w:after="0"/>
      <w:jc w:val="left"/>
    </w:pPr>
    <w:rPr>
      <w:rFonts w:ascii="Source Sans Pro Semibold" w:hAnsi="Source Sans Pro Semibold" w:eastAsia="Noto Sans HK Medium" w:cs="Times New Roman"/>
      <w:color w:val="auto"/>
      <w:kern w:val="0"/>
      <w:sz w:val="18"/>
      <w:szCs w:val="17"/>
      <w:lang w:eastAsia="en-US" w:bidi="ar-SA" w:val="es-ES"/>
    </w:rPr>
  </w:style>
  <w:style w:type="paragraph" w:styleId="TableParagraph" w:customStyle="1">
    <w:name w:val="Table Paragraph"/>
    <w:basedOn w:val="Normal"/>
    <w:uiPriority w:val="1"/>
    <w:qFormat/>
    <w:rsid w:val="000c098a"/>
    <w:pPr>
      <w:widowControl w:val="false"/>
      <w:tabs>
        <w:tab w:val="clear" w:pos="0"/>
      </w:tabs>
      <w:spacing w:before="50" w:after="0"/>
      <w:ind w:left="69"/>
      <w:jc w:val="left"/>
    </w:pPr>
    <w:rPr>
      <w:rFonts w:eastAsia="Tahoma"/>
      <w:sz w:val="22"/>
      <w:szCs w:val="22"/>
      <w:lang w:val="es-E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c098a"/>
    <w:rPr>
      <w:rFonts w:asciiTheme="minorHAnsi" w:hAnsiTheme="minorHAnsi" w:eastAsiaTheme="minorHAnsi" w:cstheme="minorBidi"/>
      <w:lang w:val="en-US" w:eastAsia="en-US" w:bidi="ar-S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LibreOffice/7.6.2.1$Windows_X86_64 LibreOffice_project/56f7684011345957bbf33a7ee678afaf4d2ba333</Application>
  <AppVersion>15.0000</AppVersion>
  <DocSecurity>0</DocSecurity>
  <Pages>3</Pages>
  <Words>659</Words>
  <Characters>4230</Characters>
  <CharactersWithSpaces>4698</CharactersWithSpaces>
  <Paragraphs>199</Paragraphs>
  <Company>JUNTA DE ANDALUCIA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2024-06-12T12:47:00Z</dcterms:created>
  <dc:creator>Castaño Garcia, Francisco</dc:creator>
  <dc:description/>
  <cp:keywords>Radiología Estepona</cp:keywords>
  <dc:language>es-ES</dc:language>
  <cp:lastModifiedBy/>
  <cp:lastPrinted>2018-12-04T13:20:00Z</cp:lastPrinted>
  <dcterms:modified xsi:type="dcterms:W3CDTF">2024-06-17T08:47:16Z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