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078CAE" w14:textId="77777777" w:rsidR="00087D55" w:rsidRPr="00652F12" w:rsidRDefault="00087D55" w:rsidP="008B0815">
      <w:pPr>
        <w:pStyle w:val="Ttulo1"/>
        <w:jc w:val="center"/>
        <w:rPr>
          <w:rFonts w:ascii="Source Sans Pro" w:hAnsi="Source Sans Pro" w:cs="Tahoma"/>
          <w:bCs/>
          <w:sz w:val="21"/>
          <w:szCs w:val="21"/>
        </w:rPr>
      </w:pPr>
      <w:bookmarkStart w:id="0" w:name="_Toc329075223"/>
    </w:p>
    <w:p w14:paraId="6BACE0CD" w14:textId="77777777" w:rsidR="00BF1A94" w:rsidRPr="00652F12" w:rsidRDefault="00125B95" w:rsidP="008B0815">
      <w:pPr>
        <w:pStyle w:val="Ttulo1"/>
        <w:jc w:val="center"/>
        <w:rPr>
          <w:rFonts w:ascii="Source Sans Pro" w:hAnsi="Source Sans Pro" w:cs="Tahoma"/>
          <w:bCs/>
          <w:sz w:val="21"/>
          <w:szCs w:val="21"/>
        </w:rPr>
      </w:pPr>
      <w:r w:rsidRPr="00652F12">
        <w:rPr>
          <w:rFonts w:ascii="Source Sans Pro" w:hAnsi="Source Sans Pro" w:cs="Tahoma"/>
          <w:bCs/>
          <w:sz w:val="21"/>
          <w:szCs w:val="21"/>
        </w:rPr>
        <w:t xml:space="preserve">ANEXO </w:t>
      </w:r>
      <w:bookmarkEnd w:id="0"/>
      <w:r w:rsidR="007236CB" w:rsidRPr="00652F12">
        <w:rPr>
          <w:rFonts w:ascii="Source Sans Pro" w:hAnsi="Source Sans Pro" w:cs="Tahoma"/>
          <w:bCs/>
          <w:sz w:val="21"/>
          <w:szCs w:val="21"/>
        </w:rPr>
        <w:t>2</w:t>
      </w:r>
      <w:bookmarkStart w:id="1" w:name="_Toc329075224"/>
      <w:r w:rsidR="00BF2B84" w:rsidRPr="00652F12">
        <w:rPr>
          <w:rFonts w:ascii="Source Sans Pro" w:hAnsi="Source Sans Pro" w:cs="Tahoma"/>
          <w:bCs/>
          <w:sz w:val="21"/>
          <w:szCs w:val="21"/>
        </w:rPr>
        <w:t xml:space="preserve"> AL PPT</w:t>
      </w:r>
    </w:p>
    <w:p w14:paraId="62390065" w14:textId="77777777" w:rsidR="00BF2B84" w:rsidRPr="00652F12" w:rsidRDefault="00BF2B84" w:rsidP="00BF2B84">
      <w:pPr>
        <w:rPr>
          <w:rFonts w:ascii="Source Sans Pro" w:hAnsi="Source Sans Pro"/>
          <w:sz w:val="21"/>
          <w:szCs w:val="21"/>
          <w:lang w:val="es-ES_tradnl"/>
        </w:rPr>
      </w:pPr>
    </w:p>
    <w:p w14:paraId="3FD1207F" w14:textId="1BE1B06D" w:rsidR="00125B95" w:rsidRPr="00652F12" w:rsidRDefault="00087D55" w:rsidP="008B0815">
      <w:pPr>
        <w:pStyle w:val="Ttulo1"/>
        <w:jc w:val="center"/>
        <w:rPr>
          <w:rFonts w:ascii="Source Sans Pro" w:hAnsi="Source Sans Pro" w:cs="Tahoma"/>
          <w:bCs/>
          <w:spacing w:val="-2"/>
          <w:sz w:val="21"/>
          <w:szCs w:val="21"/>
        </w:rPr>
      </w:pPr>
      <w:r w:rsidRPr="00652F12">
        <w:rPr>
          <w:rFonts w:ascii="Source Sans Pro" w:hAnsi="Source Sans Pro" w:cs="Tahoma"/>
          <w:bCs/>
          <w:spacing w:val="-2"/>
          <w:sz w:val="21"/>
          <w:szCs w:val="21"/>
        </w:rPr>
        <w:t>REVISIONES PERIÓDICAS</w:t>
      </w:r>
      <w:bookmarkEnd w:id="1"/>
      <w:r w:rsidRPr="00652F12">
        <w:rPr>
          <w:rFonts w:ascii="Source Sans Pro" w:hAnsi="Source Sans Pro" w:cs="Tahoma"/>
          <w:bCs/>
          <w:spacing w:val="-2"/>
          <w:sz w:val="21"/>
          <w:szCs w:val="21"/>
        </w:rPr>
        <w:t xml:space="preserve"> </w:t>
      </w:r>
    </w:p>
    <w:p w14:paraId="54D88100" w14:textId="77777777" w:rsidR="00BF1A94" w:rsidRPr="00652F12" w:rsidRDefault="00BF1A94" w:rsidP="00BF1A94">
      <w:pPr>
        <w:rPr>
          <w:rFonts w:ascii="Source Sans Pro" w:hAnsi="Source Sans Pro"/>
          <w:sz w:val="21"/>
          <w:szCs w:val="21"/>
          <w:lang w:val="es-ES_tradnl"/>
        </w:rPr>
      </w:pPr>
    </w:p>
    <w:p w14:paraId="10D9C72D" w14:textId="7213FB60" w:rsidR="00BF1A94" w:rsidRPr="00652F12" w:rsidRDefault="00BF1A94" w:rsidP="00BF1A94">
      <w:pPr>
        <w:jc w:val="center"/>
        <w:rPr>
          <w:rFonts w:ascii="Source Sans Pro" w:hAnsi="Source Sans Pro"/>
          <w:b/>
          <w:sz w:val="21"/>
          <w:szCs w:val="21"/>
          <w:lang w:val="es-ES_tradnl"/>
        </w:rPr>
      </w:pPr>
      <w:r w:rsidRPr="00652F12">
        <w:rPr>
          <w:rFonts w:ascii="Source Sans Pro" w:hAnsi="Source Sans Pro"/>
          <w:b/>
          <w:sz w:val="21"/>
          <w:szCs w:val="21"/>
          <w:lang w:val="es-ES_tradnl"/>
        </w:rPr>
        <w:t xml:space="preserve">EXPEDIENTE P.A. </w:t>
      </w:r>
      <w:r w:rsidR="00026CD6">
        <w:rPr>
          <w:rFonts w:ascii="Source Sans Pro" w:hAnsi="Source Sans Pro"/>
          <w:b/>
          <w:sz w:val="21"/>
          <w:szCs w:val="21"/>
          <w:lang w:val="es-ES_tradnl"/>
        </w:rPr>
        <w:t>81</w:t>
      </w:r>
      <w:r w:rsidRPr="00652F12">
        <w:rPr>
          <w:rFonts w:ascii="Source Sans Pro" w:hAnsi="Source Sans Pro"/>
          <w:b/>
          <w:sz w:val="21"/>
          <w:szCs w:val="21"/>
          <w:lang w:val="es-ES_tradnl"/>
        </w:rPr>
        <w:t>/20</w:t>
      </w:r>
      <w:r w:rsidR="00026CD6">
        <w:rPr>
          <w:rFonts w:ascii="Source Sans Pro" w:hAnsi="Source Sans Pro"/>
          <w:b/>
          <w:sz w:val="21"/>
          <w:szCs w:val="21"/>
          <w:lang w:val="es-ES_tradnl"/>
        </w:rPr>
        <w:t>25</w:t>
      </w:r>
    </w:p>
    <w:p w14:paraId="0DBACB96" w14:textId="77777777" w:rsidR="00125B95" w:rsidRPr="00652F12" w:rsidRDefault="00125B95">
      <w:pPr>
        <w:pStyle w:val="Ttulo1"/>
        <w:rPr>
          <w:rFonts w:ascii="Source Sans Pro" w:hAnsi="Source Sans Pro" w:cs="Tahoma"/>
          <w:b w:val="0"/>
          <w:sz w:val="21"/>
          <w:szCs w:val="21"/>
          <w:u w:val="none"/>
        </w:rPr>
      </w:pPr>
    </w:p>
    <w:p w14:paraId="522102D9" w14:textId="539A9FFF" w:rsidR="00B6726E" w:rsidRPr="00652F12" w:rsidRDefault="00B6726E" w:rsidP="00B6726E">
      <w:pPr>
        <w:spacing w:before="120" w:after="120"/>
        <w:jc w:val="both"/>
        <w:rPr>
          <w:rFonts w:ascii="Source Sans Pro" w:hAnsi="Source Sans Pro" w:cs="Tahoma"/>
          <w:sz w:val="21"/>
          <w:szCs w:val="21"/>
          <w:lang w:val="es-ES_tradnl"/>
        </w:rPr>
      </w:pPr>
      <w:r w:rsidRPr="00652F12">
        <w:rPr>
          <w:rFonts w:ascii="Source Sans Pro" w:hAnsi="Source Sans Pro" w:cs="Tahoma"/>
          <w:b/>
          <w:sz w:val="21"/>
          <w:szCs w:val="21"/>
          <w:lang w:val="es-ES_tradnl"/>
        </w:rPr>
        <w:t>El P</w:t>
      </w:r>
      <w:r w:rsidR="00652F12" w:rsidRPr="00652F12">
        <w:rPr>
          <w:rFonts w:ascii="Source Sans Pro" w:hAnsi="Source Sans Pro" w:cs="Tahoma"/>
          <w:b/>
          <w:sz w:val="21"/>
          <w:szCs w:val="21"/>
          <w:lang w:val="es-ES_tradnl"/>
        </w:rPr>
        <w:t>rograma</w:t>
      </w:r>
      <w:r w:rsidRPr="00652F12">
        <w:rPr>
          <w:rFonts w:ascii="Source Sans Pro" w:hAnsi="Source Sans Pro" w:cs="Tahoma"/>
          <w:b/>
          <w:sz w:val="21"/>
          <w:szCs w:val="21"/>
          <w:lang w:val="es-ES_tradnl"/>
        </w:rPr>
        <w:t xml:space="preserve"> de Mantenimiento aportado por el licitador debe contemplar el cumplimiento del presente Anexo o en su defecto justificar que lo sustituye sin mermar las condiciones de seguridad e incluso incrementando la calidad del mantenimiento</w:t>
      </w:r>
      <w:r w:rsidRPr="00652F12">
        <w:rPr>
          <w:rFonts w:ascii="Source Sans Pro" w:hAnsi="Source Sans Pro" w:cs="Tahoma"/>
          <w:sz w:val="21"/>
          <w:szCs w:val="21"/>
          <w:lang w:val="es-ES_tradnl"/>
        </w:rPr>
        <w:t>.</w:t>
      </w:r>
    </w:p>
    <w:p w14:paraId="57771200" w14:textId="77777777" w:rsidR="00125B95" w:rsidRPr="00652F12" w:rsidRDefault="00125B95" w:rsidP="00E53717">
      <w:pPr>
        <w:spacing w:before="120" w:after="120"/>
        <w:ind w:firstLine="1"/>
        <w:jc w:val="both"/>
        <w:rPr>
          <w:rFonts w:ascii="Source Sans Pro" w:hAnsi="Source Sans Pro" w:cs="Tahoma"/>
          <w:sz w:val="21"/>
          <w:szCs w:val="21"/>
          <w:lang w:val="es-ES_tradnl"/>
        </w:rPr>
      </w:pPr>
      <w:r w:rsidRPr="00652F12">
        <w:rPr>
          <w:rFonts w:ascii="Source Sans Pro" w:hAnsi="Source Sans Pro" w:cs="Tahoma"/>
          <w:sz w:val="21"/>
          <w:szCs w:val="21"/>
          <w:lang w:val="es-ES_tradnl"/>
        </w:rPr>
        <w:t>El contenido de cada una de las revisiones se especifica en los partes de Mantenimiento   Preventivo anexos.</w:t>
      </w:r>
    </w:p>
    <w:p w14:paraId="0DFA7BAB" w14:textId="77777777" w:rsidR="00125B95" w:rsidRPr="00652F12" w:rsidRDefault="00857EB0" w:rsidP="00E53717">
      <w:pPr>
        <w:spacing w:before="120" w:after="120"/>
        <w:ind w:firstLine="1"/>
        <w:jc w:val="both"/>
        <w:rPr>
          <w:rFonts w:ascii="Source Sans Pro" w:hAnsi="Source Sans Pro" w:cs="Tahoma"/>
          <w:sz w:val="21"/>
          <w:szCs w:val="21"/>
          <w:lang w:val="es-ES_tradnl"/>
        </w:rPr>
      </w:pPr>
      <w:r w:rsidRPr="00652F12">
        <w:rPr>
          <w:rFonts w:ascii="Source Sans Pro" w:hAnsi="Source Sans Pro" w:cs="Tahoma"/>
          <w:sz w:val="21"/>
          <w:szCs w:val="21"/>
          <w:lang w:val="es-ES_tradnl"/>
        </w:rPr>
        <w:t xml:space="preserve">Tal como se recoge </w:t>
      </w:r>
      <w:r w:rsidR="00087D55" w:rsidRPr="00652F12">
        <w:rPr>
          <w:rFonts w:ascii="Source Sans Pro" w:hAnsi="Source Sans Pro" w:cs="Tahoma"/>
          <w:sz w:val="21"/>
          <w:szCs w:val="21"/>
          <w:lang w:val="es-ES_tradnl"/>
        </w:rPr>
        <w:t>e</w:t>
      </w:r>
      <w:r w:rsidRPr="00652F12">
        <w:rPr>
          <w:rFonts w:ascii="Source Sans Pro" w:hAnsi="Source Sans Pro" w:cs="Tahoma"/>
          <w:sz w:val="21"/>
          <w:szCs w:val="21"/>
          <w:lang w:val="es-ES_tradnl"/>
        </w:rPr>
        <w:t xml:space="preserve">n el punto </w:t>
      </w:r>
      <w:r w:rsidRPr="00652F12">
        <w:rPr>
          <w:rFonts w:ascii="Source Sans Pro" w:hAnsi="Source Sans Pro" w:cs="Tahoma"/>
          <w:bCs/>
          <w:sz w:val="21"/>
          <w:szCs w:val="21"/>
        </w:rPr>
        <w:t>4.4. del PPT, si el Centro</w:t>
      </w:r>
      <w:r w:rsidR="007528C3" w:rsidRPr="00652F12">
        <w:rPr>
          <w:rFonts w:ascii="Source Sans Pro" w:hAnsi="Source Sans Pro" w:cs="Tahoma"/>
          <w:bCs/>
          <w:sz w:val="21"/>
          <w:szCs w:val="21"/>
        </w:rPr>
        <w:t xml:space="preserve"> </w:t>
      </w:r>
      <w:r w:rsidR="00125B95" w:rsidRPr="00652F12">
        <w:rPr>
          <w:rFonts w:ascii="Source Sans Pro" w:hAnsi="Source Sans Pro" w:cs="Tahoma"/>
          <w:sz w:val="21"/>
          <w:szCs w:val="21"/>
          <w:lang w:val="es-ES_tradnl"/>
        </w:rPr>
        <w:t>lo estima oportuno se realizará un “control de calidad” de las instalaciones por empresas de reconocida solvencia, con el fin de evaluar el estado en que se encuentran dichas instalaciones.</w:t>
      </w:r>
    </w:p>
    <w:p w14:paraId="5D6717A6" w14:textId="77777777" w:rsidR="00EF43C8" w:rsidRPr="00652F12" w:rsidRDefault="00EF43C8" w:rsidP="00EF43C8">
      <w:pPr>
        <w:ind w:left="720"/>
        <w:rPr>
          <w:rFonts w:ascii="Source Sans Pro" w:hAnsi="Source Sans Pro" w:cs="Arial"/>
          <w:sz w:val="21"/>
          <w:szCs w:val="21"/>
        </w:rPr>
      </w:pPr>
    </w:p>
    <w:p w14:paraId="570334EA" w14:textId="39DF71F4" w:rsidR="007A3EBB" w:rsidRPr="00652F12" w:rsidRDefault="007A3EBB" w:rsidP="007A3EBB">
      <w:pPr>
        <w:spacing w:before="120" w:after="120"/>
        <w:jc w:val="both"/>
        <w:rPr>
          <w:rFonts w:ascii="Source Sans Pro" w:hAnsi="Source Sans Pro" w:cs="Tahoma"/>
          <w:sz w:val="21"/>
          <w:szCs w:val="21"/>
          <w:lang w:val="es-ES_tradnl"/>
        </w:rPr>
      </w:pPr>
      <w:r w:rsidRPr="00652F12">
        <w:rPr>
          <w:rFonts w:ascii="Source Sans Pro" w:hAnsi="Source Sans Pro" w:cs="Tahoma"/>
          <w:b/>
          <w:sz w:val="21"/>
          <w:szCs w:val="21"/>
          <w:lang w:val="es-ES_tradnl"/>
        </w:rPr>
        <w:t>El P</w:t>
      </w:r>
      <w:r w:rsidR="00026CD6">
        <w:rPr>
          <w:rFonts w:ascii="Source Sans Pro" w:hAnsi="Source Sans Pro" w:cs="Tahoma"/>
          <w:b/>
          <w:sz w:val="21"/>
          <w:szCs w:val="21"/>
          <w:lang w:val="es-ES_tradnl"/>
        </w:rPr>
        <w:t>rograma</w:t>
      </w:r>
      <w:r w:rsidRPr="00652F12">
        <w:rPr>
          <w:rFonts w:ascii="Source Sans Pro" w:hAnsi="Source Sans Pro" w:cs="Tahoma"/>
          <w:b/>
          <w:sz w:val="21"/>
          <w:szCs w:val="21"/>
          <w:lang w:val="es-ES_tradnl"/>
        </w:rPr>
        <w:t xml:space="preserve"> de Mantenimiento aportado por el licitador debe contemplar el cumplimiento del presente Anexo o en su defecto justificar que lo sustituye sin mermar las condiciones de seguridad e incluso incrementando la calidad del mantenimiento</w:t>
      </w:r>
      <w:r w:rsidRPr="00652F12">
        <w:rPr>
          <w:rFonts w:ascii="Source Sans Pro" w:hAnsi="Source Sans Pro" w:cs="Tahoma"/>
          <w:sz w:val="21"/>
          <w:szCs w:val="21"/>
          <w:lang w:val="es-ES_tradnl"/>
        </w:rPr>
        <w:t>.</w:t>
      </w:r>
    </w:p>
    <w:p w14:paraId="3111C748" w14:textId="77777777" w:rsidR="007A3EBB" w:rsidRPr="00652F12" w:rsidRDefault="007A3EBB" w:rsidP="00EF43C8">
      <w:pPr>
        <w:ind w:left="720"/>
        <w:rPr>
          <w:rFonts w:ascii="Source Sans Pro" w:hAnsi="Source Sans Pro" w:cs="Arial"/>
          <w:sz w:val="21"/>
          <w:szCs w:val="21"/>
          <w:lang w:val="es-ES_tradnl"/>
        </w:rPr>
      </w:pPr>
    </w:p>
    <w:p w14:paraId="1216D992" w14:textId="77777777" w:rsidR="00EF43C8" w:rsidRPr="00652F12" w:rsidRDefault="00EF43C8" w:rsidP="009E7856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Se aplicará en todo momento lo relacionado en UNE-EN12635</w:t>
      </w:r>
    </w:p>
    <w:p w14:paraId="11A5634D" w14:textId="77777777" w:rsidR="00EF43C8" w:rsidRPr="00652F12" w:rsidRDefault="00EF43C8" w:rsidP="009E7856">
      <w:pPr>
        <w:jc w:val="both"/>
        <w:rPr>
          <w:rFonts w:ascii="Source Sans Pro" w:hAnsi="Source Sans Pro" w:cs="Arial"/>
          <w:sz w:val="21"/>
          <w:szCs w:val="21"/>
        </w:rPr>
      </w:pPr>
    </w:p>
    <w:p w14:paraId="10DF295D" w14:textId="77777777" w:rsidR="00EF43C8" w:rsidRPr="00652F12" w:rsidRDefault="00EF43C8" w:rsidP="009E7856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“Los procedimientos de mantenimiento avanzado deben ser ejecutados únicamente por personal adecuadamente preparado"</w:t>
      </w:r>
    </w:p>
    <w:p w14:paraId="5C428497" w14:textId="77777777" w:rsidR="00EF43C8" w:rsidRPr="00652F12" w:rsidRDefault="00EF43C8" w:rsidP="009E7856">
      <w:pPr>
        <w:jc w:val="both"/>
        <w:rPr>
          <w:rFonts w:ascii="Source Sans Pro" w:hAnsi="Source Sans Pro" w:cs="Arial"/>
          <w:i/>
          <w:sz w:val="21"/>
          <w:szCs w:val="21"/>
        </w:rPr>
      </w:pPr>
    </w:p>
    <w:p w14:paraId="7EE56A58" w14:textId="77777777" w:rsidR="00EF43C8" w:rsidRPr="00652F12" w:rsidRDefault="00EF43C8" w:rsidP="009E7856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“Mantener las puertas de acuerdo con la reglamentación de aplicación y los requisitos establecidos en la presente norma”</w:t>
      </w:r>
    </w:p>
    <w:p w14:paraId="422DBBD6" w14:textId="77777777" w:rsidR="00EF43C8" w:rsidRPr="00652F12" w:rsidRDefault="00EF43C8" w:rsidP="009E7856">
      <w:pPr>
        <w:jc w:val="both"/>
        <w:rPr>
          <w:rFonts w:ascii="Source Sans Pro" w:hAnsi="Source Sans Pro" w:cs="Arial"/>
          <w:sz w:val="21"/>
          <w:szCs w:val="21"/>
        </w:rPr>
      </w:pPr>
    </w:p>
    <w:p w14:paraId="6F8BE2F8" w14:textId="77777777" w:rsidR="00EF43C8" w:rsidRPr="00652F12" w:rsidRDefault="00EF43C8" w:rsidP="009E7856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“Las operaciones de mantenimiento deben quedar recogidas en el libro de mantenimiento</w:t>
      </w:r>
      <w:r w:rsidRPr="00652F12">
        <w:rPr>
          <w:rFonts w:ascii="Source Sans Pro" w:hAnsi="Source Sans Pro" w:cs="Arial"/>
          <w:i/>
          <w:sz w:val="21"/>
          <w:szCs w:val="21"/>
        </w:rPr>
        <w:t>”</w:t>
      </w:r>
    </w:p>
    <w:p w14:paraId="648F4950" w14:textId="77777777" w:rsidR="00EF43C8" w:rsidRPr="00652F12" w:rsidRDefault="00EF43C8" w:rsidP="009D16BA">
      <w:pPr>
        <w:rPr>
          <w:rFonts w:ascii="Source Sans Pro" w:hAnsi="Source Sans Pro" w:cs="Arial"/>
          <w:sz w:val="21"/>
          <w:szCs w:val="21"/>
        </w:rPr>
      </w:pPr>
    </w:p>
    <w:p w14:paraId="67FC80C4" w14:textId="77777777" w:rsidR="00EF43C8" w:rsidRPr="00652F12" w:rsidRDefault="00EF43C8" w:rsidP="009D16BA">
      <w:pPr>
        <w:rPr>
          <w:rFonts w:ascii="Source Sans Pro" w:hAnsi="Source Sans Pro" w:cs="Arial"/>
          <w:b/>
          <w:sz w:val="21"/>
          <w:szCs w:val="21"/>
        </w:rPr>
      </w:pPr>
      <w:r w:rsidRPr="00652F12">
        <w:rPr>
          <w:rFonts w:ascii="Source Sans Pro" w:hAnsi="Source Sans Pro" w:cs="Arial"/>
          <w:b/>
          <w:sz w:val="21"/>
          <w:szCs w:val="21"/>
        </w:rPr>
        <w:t>NORMATIVAS APLICABLE AL MANTENIMIENTO EN PUERTAS AUTOMÁTICAS PEATONALES</w:t>
      </w:r>
    </w:p>
    <w:p w14:paraId="5CE4BEF6" w14:textId="77777777" w:rsidR="00EF43C8" w:rsidRPr="00652F12" w:rsidRDefault="00EF43C8" w:rsidP="009D16BA">
      <w:pPr>
        <w:rPr>
          <w:rFonts w:ascii="Source Sans Pro" w:hAnsi="Source Sans Pro" w:cs="Arial"/>
          <w:sz w:val="21"/>
          <w:szCs w:val="21"/>
        </w:rPr>
      </w:pPr>
    </w:p>
    <w:p w14:paraId="4E7EC273" w14:textId="77777777" w:rsidR="00EF43C8" w:rsidRPr="00CD7E3A" w:rsidRDefault="00EF43C8" w:rsidP="009D16BA">
      <w:pPr>
        <w:jc w:val="both"/>
        <w:rPr>
          <w:rFonts w:ascii="Source Sans Pro" w:hAnsi="Source Sans Pro" w:cs="Arial"/>
          <w:sz w:val="21"/>
          <w:szCs w:val="21"/>
          <w:u w:val="single"/>
        </w:rPr>
      </w:pPr>
      <w:r w:rsidRPr="00CD7E3A">
        <w:rPr>
          <w:rFonts w:ascii="Source Sans Pro" w:hAnsi="Source Sans Pro" w:cs="Arial"/>
          <w:sz w:val="21"/>
          <w:szCs w:val="21"/>
          <w:u w:val="single"/>
        </w:rPr>
        <w:t>Norma Europea UNE 85121 EX.</w:t>
      </w:r>
    </w:p>
    <w:p w14:paraId="6FF6A2DF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</w:p>
    <w:p w14:paraId="63D330D5" w14:textId="77777777" w:rsidR="00EF43C8" w:rsidRPr="00652F12" w:rsidRDefault="00EF43C8" w:rsidP="009D16BA">
      <w:pPr>
        <w:jc w:val="both"/>
        <w:rPr>
          <w:rFonts w:ascii="Source Sans Pro" w:hAnsi="Source Sans Pro" w:cs="Arial"/>
          <w:b/>
          <w:sz w:val="21"/>
          <w:szCs w:val="21"/>
        </w:rPr>
      </w:pPr>
      <w:r w:rsidRPr="00652F12">
        <w:rPr>
          <w:rFonts w:ascii="Source Sans Pro" w:hAnsi="Source Sans Pro" w:cs="Arial"/>
          <w:b/>
          <w:sz w:val="21"/>
          <w:szCs w:val="21"/>
        </w:rPr>
        <w:t xml:space="preserve"> Puertas peatonales automáticas:</w:t>
      </w:r>
    </w:p>
    <w:p w14:paraId="380543E8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</w:p>
    <w:p w14:paraId="3D0ADDAB" w14:textId="77777777" w:rsidR="001869EF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 xml:space="preserve">Las operaciones relativas a su uso y mantenimiento, así como la periodicidad de </w:t>
      </w:r>
      <w:proofErr w:type="gramStart"/>
      <w:r w:rsidRPr="00652F12">
        <w:rPr>
          <w:rFonts w:ascii="Source Sans Pro" w:hAnsi="Source Sans Pro" w:cs="Arial"/>
          <w:sz w:val="21"/>
          <w:szCs w:val="21"/>
        </w:rPr>
        <w:t>las mismas</w:t>
      </w:r>
      <w:proofErr w:type="gramEnd"/>
      <w:r w:rsidRPr="00652F12">
        <w:rPr>
          <w:rFonts w:ascii="Source Sans Pro" w:hAnsi="Source Sans Pro" w:cs="Arial"/>
          <w:sz w:val="21"/>
          <w:szCs w:val="21"/>
        </w:rPr>
        <w:t xml:space="preserve"> se deben llevar a cabo siguiendo las instrucciones del “Manual de usuario” suministrado por el fabricante o la empresa instaladora, conforme a la norma UNE 85121 EX “Puertas peatonales automáticas. Instalación, uso y mantenimiento”.</w:t>
      </w:r>
    </w:p>
    <w:p w14:paraId="64E6C069" w14:textId="77777777" w:rsidR="001869EF" w:rsidRPr="00652F12" w:rsidRDefault="001869EF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La Norma UNE 85121EX que regula el mantenimiento de las puertas peatonales automáticas, traspuesta al derecho</w:t>
      </w:r>
      <w:r w:rsidR="00EC14F5" w:rsidRPr="00652F12">
        <w:rPr>
          <w:rFonts w:ascii="Source Sans Pro" w:hAnsi="Source Sans Pro" w:cs="Arial"/>
          <w:sz w:val="21"/>
          <w:szCs w:val="21"/>
        </w:rPr>
        <w:t xml:space="preserve"> </w:t>
      </w:r>
      <w:r w:rsidRPr="00652F12">
        <w:rPr>
          <w:rFonts w:ascii="Source Sans Pro" w:hAnsi="Source Sans Pro" w:cs="Arial"/>
          <w:sz w:val="21"/>
          <w:szCs w:val="21"/>
        </w:rPr>
        <w:t>interno por el Código Técnico de Edificación, exige que se sometan OBLIGATORIAMENTE a las condiciones de</w:t>
      </w:r>
      <w:r w:rsidR="00EC14F5" w:rsidRPr="00652F12">
        <w:rPr>
          <w:rFonts w:ascii="Source Sans Pro" w:hAnsi="Source Sans Pro" w:cs="Arial"/>
          <w:sz w:val="21"/>
          <w:szCs w:val="21"/>
        </w:rPr>
        <w:t xml:space="preserve"> </w:t>
      </w:r>
      <w:r w:rsidRPr="00652F12">
        <w:rPr>
          <w:rFonts w:ascii="Source Sans Pro" w:hAnsi="Source Sans Pro" w:cs="Arial"/>
          <w:sz w:val="21"/>
          <w:szCs w:val="21"/>
        </w:rPr>
        <w:t>mantenimiento conforme a los criterios especificados en la citada norma, estableciendo dos tipos de uso: (uso ligero</w:t>
      </w:r>
      <w:r w:rsidR="00EC14F5" w:rsidRPr="00652F12">
        <w:rPr>
          <w:rFonts w:ascii="Source Sans Pro" w:hAnsi="Source Sans Pro" w:cs="Arial"/>
          <w:sz w:val="21"/>
          <w:szCs w:val="21"/>
        </w:rPr>
        <w:t xml:space="preserve"> </w:t>
      </w:r>
      <w:r w:rsidRPr="00652F12">
        <w:rPr>
          <w:rFonts w:ascii="Source Sans Pro" w:hAnsi="Source Sans Pro" w:cs="Arial"/>
          <w:sz w:val="21"/>
          <w:szCs w:val="21"/>
        </w:rPr>
        <w:t>para aforos inferiores a 100 personas, y uso intensivo para aforos superiores a 100 personas). Para el 1er uso</w:t>
      </w:r>
      <w:r w:rsidR="00EC14F5" w:rsidRPr="00652F12">
        <w:rPr>
          <w:rFonts w:ascii="Source Sans Pro" w:hAnsi="Source Sans Pro" w:cs="Arial"/>
          <w:sz w:val="21"/>
          <w:szCs w:val="21"/>
        </w:rPr>
        <w:t xml:space="preserve"> </w:t>
      </w:r>
      <w:r w:rsidRPr="00652F12">
        <w:rPr>
          <w:rFonts w:ascii="Source Sans Pro" w:hAnsi="Source Sans Pro" w:cs="Arial"/>
          <w:sz w:val="21"/>
          <w:szCs w:val="21"/>
        </w:rPr>
        <w:t>establece un mínimo de dos visitas anuales de mantenimiento preventivo, siendo para el 2º uso un mínimo de</w:t>
      </w:r>
      <w:r w:rsidR="00EC14F5" w:rsidRPr="00652F12">
        <w:rPr>
          <w:rFonts w:ascii="Source Sans Pro" w:hAnsi="Source Sans Pro" w:cs="Arial"/>
          <w:sz w:val="21"/>
          <w:szCs w:val="21"/>
        </w:rPr>
        <w:t xml:space="preserve"> </w:t>
      </w:r>
      <w:r w:rsidRPr="00652F12">
        <w:rPr>
          <w:rFonts w:ascii="Source Sans Pro" w:hAnsi="Source Sans Pro" w:cs="Arial"/>
          <w:sz w:val="21"/>
          <w:szCs w:val="21"/>
        </w:rPr>
        <w:t>cuatro visitas anuales de mantenimiento preventivo.</w:t>
      </w:r>
    </w:p>
    <w:p w14:paraId="03706D71" w14:textId="77777777" w:rsidR="00EF43C8" w:rsidRPr="00652F12" w:rsidRDefault="00EF43C8" w:rsidP="00EF43C8">
      <w:pPr>
        <w:ind w:left="720"/>
        <w:jc w:val="both"/>
        <w:rPr>
          <w:rFonts w:ascii="Source Sans Pro" w:hAnsi="Source Sans Pro" w:cs="Arial"/>
          <w:sz w:val="21"/>
          <w:szCs w:val="21"/>
        </w:rPr>
      </w:pPr>
    </w:p>
    <w:p w14:paraId="0B232DBE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Define los niveles de competencia requerida para las tareas especificadas:</w:t>
      </w:r>
    </w:p>
    <w:p w14:paraId="5F9E9382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</w:p>
    <w:p w14:paraId="618DD8FC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lastRenderedPageBreak/>
        <w:t>• Nivel básico. Instrucciones generales sencillas que permitan asegurar al propietario un funcionamiento sin incidentes de la puerta, sin necesidad de competencia específica. En general se refieren a operaciones de limpieza y supervisión.</w:t>
      </w:r>
    </w:p>
    <w:p w14:paraId="19CA37EE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</w:p>
    <w:p w14:paraId="7DD06D04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• Nivel avanzado. Procedimientos de mantenimiento (preventivo) avanzado que deben ser ejecutados únicamente por personal adecuadamente preparado. En general se refieren al engrasado (lubricación) y comprobación de los elementos mecánicos, eléctricos y componentes de seguridad y su funcionalidad.</w:t>
      </w:r>
    </w:p>
    <w:p w14:paraId="3FF31E33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</w:p>
    <w:p w14:paraId="6CDA6C28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Ajustes de activadores, seguridades, velocidades, hojas, sistemas antipánico, etc.</w:t>
      </w:r>
    </w:p>
    <w:p w14:paraId="12742E60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</w:p>
    <w:p w14:paraId="0E23C576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Define dos niveles de mantenimiento preventivo en función del uso de la puerta:</w:t>
      </w:r>
    </w:p>
    <w:p w14:paraId="0D5AF645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</w:p>
    <w:p w14:paraId="75A66398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• Uso ligero: aforo &lt; 100 personas: la periodicidad mínima de las revisiones será semestral (2 revisiones anuales).</w:t>
      </w:r>
    </w:p>
    <w:p w14:paraId="0B47B6B5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• Uso intensivo: aforo A 100 personas: la periodicidad mínima</w:t>
      </w:r>
      <w:r w:rsidR="00EC14F5" w:rsidRPr="00652F12">
        <w:rPr>
          <w:rFonts w:ascii="Source Sans Pro" w:hAnsi="Source Sans Pro" w:cs="Arial"/>
          <w:sz w:val="21"/>
          <w:szCs w:val="21"/>
        </w:rPr>
        <w:t xml:space="preserve"> de las revisiones será Mensual</w:t>
      </w:r>
      <w:r w:rsidRPr="00652F12">
        <w:rPr>
          <w:rFonts w:ascii="Source Sans Pro" w:hAnsi="Source Sans Pro" w:cs="Arial"/>
          <w:sz w:val="21"/>
          <w:szCs w:val="21"/>
        </w:rPr>
        <w:t xml:space="preserve"> (12 revisiones anuales).</w:t>
      </w:r>
    </w:p>
    <w:p w14:paraId="5938F43A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</w:p>
    <w:p w14:paraId="78FE30EE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En el caso nuestro como siempre hay un aforo superior a 100 personas, la revisión será Mensual</w:t>
      </w:r>
    </w:p>
    <w:p w14:paraId="4AA80ED3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</w:p>
    <w:p w14:paraId="2C4D91F1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BOE de fecha 11 de marzo de 2010 en la sección 1 página 24513</w:t>
      </w:r>
    </w:p>
    <w:p w14:paraId="36E4837F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</w:p>
    <w:p w14:paraId="77957AC5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• “Las puertas peatonales automáticas se someterán obligatoriamente a las condiciones de mantenimiento conforme a la norma UNE-EN 12635:2002+A1:2009”:</w:t>
      </w:r>
    </w:p>
    <w:p w14:paraId="3C93DD64" w14:textId="77777777" w:rsidR="007528C3" w:rsidRPr="00652F12" w:rsidRDefault="007528C3" w:rsidP="00EF43C8">
      <w:pPr>
        <w:ind w:left="720"/>
        <w:jc w:val="both"/>
        <w:rPr>
          <w:rFonts w:ascii="Source Sans Pro" w:hAnsi="Source Sans Pro" w:cs="Arial"/>
          <w:sz w:val="21"/>
          <w:szCs w:val="21"/>
        </w:rPr>
      </w:pPr>
    </w:p>
    <w:p w14:paraId="2FD72D18" w14:textId="77777777" w:rsidR="00EF43C8" w:rsidRPr="00652F12" w:rsidRDefault="00EF43C8" w:rsidP="009D16BA">
      <w:pPr>
        <w:jc w:val="both"/>
        <w:rPr>
          <w:rFonts w:ascii="Source Sans Pro" w:hAnsi="Source Sans Pro" w:cs="Arial"/>
          <w:b/>
          <w:sz w:val="21"/>
          <w:szCs w:val="21"/>
        </w:rPr>
      </w:pPr>
      <w:r w:rsidRPr="00652F12">
        <w:rPr>
          <w:rFonts w:ascii="Source Sans Pro" w:hAnsi="Source Sans Pro" w:cs="Arial"/>
          <w:b/>
          <w:sz w:val="21"/>
          <w:szCs w:val="21"/>
        </w:rPr>
        <w:t>Esta norma específica:</w:t>
      </w:r>
    </w:p>
    <w:p w14:paraId="6CE9AD6F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</w:p>
    <w:p w14:paraId="5BAF729C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1. La información que debe ser suministrada por el fabricante de la puerta y el fabricante de los</w:t>
      </w:r>
    </w:p>
    <w:p w14:paraId="74CCAB1A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componentes, para asegurar una instalación, maniobra, mantenimiento, reparación y uso seguros de este tipo de puertas.</w:t>
      </w:r>
    </w:p>
    <w:p w14:paraId="6ACCFBE1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</w:p>
    <w:p w14:paraId="54E7D542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2. Que las instrucciones deben indicar los diferentes niveles de competencia, incluyendo aquellos procedimientos de mantenimiento avanzado que deben ser ejecutados únicamente por personal adecuadamente preparado.</w:t>
      </w:r>
    </w:p>
    <w:p w14:paraId="5CED1BD1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</w:p>
    <w:p w14:paraId="0F510EC6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UNE-EN16005 de “Seguridad de Uso de Puertas Automáticas Peatonales”, apartado 4.2.1</w:t>
      </w:r>
    </w:p>
    <w:p w14:paraId="33B08059" w14:textId="77777777" w:rsidR="00EF43C8" w:rsidRPr="00652F12" w:rsidRDefault="00EF43C8" w:rsidP="009D16BA">
      <w:pPr>
        <w:jc w:val="both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“… para asegurar un funcionamiento seguro, una fiabilidad de larga duración y un funcionamiento eficiente, las puertas peatonales automáticas (incluyendo sus dispositivos de protección y los sistemas de seguridad) deben mantenerse regularmente conforme a la especificación del fabricante. Así mismo, deben detallar la frecuencia de mantenimiento (la frecuencia recomendada para la verificación del funcionamiento correcto de las funciones deseguridad y los dispositivos</w:t>
      </w:r>
    </w:p>
    <w:p w14:paraId="15389593" w14:textId="77777777" w:rsidR="00EF43C8" w:rsidRPr="00652F12" w:rsidRDefault="00EF43C8" w:rsidP="009D16BA">
      <w:pPr>
        <w:rPr>
          <w:rFonts w:ascii="Source Sans Pro" w:hAnsi="Source Sans Pro" w:cs="Arial"/>
          <w:sz w:val="21"/>
          <w:szCs w:val="21"/>
        </w:rPr>
      </w:pPr>
    </w:p>
    <w:p w14:paraId="36CEE791" w14:textId="77777777" w:rsidR="00EF43C8" w:rsidRPr="00652F12" w:rsidRDefault="00CD7E3A" w:rsidP="009D16BA">
      <w:pPr>
        <w:rPr>
          <w:rFonts w:ascii="Source Sans Pro" w:hAnsi="Source Sans Pro" w:cs="Arial"/>
          <w:sz w:val="21"/>
          <w:szCs w:val="21"/>
        </w:rPr>
      </w:pPr>
      <w:r>
        <w:rPr>
          <w:rFonts w:ascii="Source Sans Pro" w:hAnsi="Source Sans Pro"/>
          <w:sz w:val="21"/>
          <w:szCs w:val="21"/>
        </w:rPr>
        <w:lastRenderedPageBreak/>
        <w:pict w14:anchorId="47E434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4pt;height:445.8pt">
            <v:imagedata r:id="rId10" o:title=""/>
          </v:shape>
        </w:pict>
      </w:r>
    </w:p>
    <w:p w14:paraId="3A96843C" w14:textId="77777777" w:rsidR="00EF43C8" w:rsidRPr="00652F12" w:rsidRDefault="00EF43C8" w:rsidP="00EF43C8">
      <w:pPr>
        <w:rPr>
          <w:rFonts w:ascii="Source Sans Pro" w:hAnsi="Source Sans Pro" w:cs="Arial"/>
          <w:sz w:val="21"/>
          <w:szCs w:val="21"/>
        </w:rPr>
      </w:pPr>
    </w:p>
    <w:p w14:paraId="3B5BD47A" w14:textId="77777777" w:rsidR="00EF43C8" w:rsidRPr="00652F12" w:rsidRDefault="00EF43C8" w:rsidP="00EF43C8">
      <w:pPr>
        <w:ind w:left="720"/>
        <w:rPr>
          <w:rFonts w:ascii="Source Sans Pro" w:hAnsi="Source Sans Pro" w:cs="Arial"/>
          <w:sz w:val="21"/>
          <w:szCs w:val="21"/>
        </w:rPr>
      </w:pPr>
    </w:p>
    <w:p w14:paraId="285095F4" w14:textId="77777777" w:rsidR="00EF43C8" w:rsidRPr="00652F12" w:rsidRDefault="00EF43C8" w:rsidP="00EF43C8">
      <w:pPr>
        <w:ind w:left="720"/>
        <w:rPr>
          <w:rFonts w:ascii="Source Sans Pro" w:hAnsi="Source Sans Pro" w:cs="Arial"/>
          <w:sz w:val="21"/>
          <w:szCs w:val="21"/>
        </w:rPr>
      </w:pPr>
    </w:p>
    <w:p w14:paraId="369585B6" w14:textId="77777777" w:rsidR="00EF43C8" w:rsidRPr="00652F12" w:rsidRDefault="00EF43C8" w:rsidP="009D16BA">
      <w:pPr>
        <w:ind w:left="142"/>
        <w:rPr>
          <w:rFonts w:ascii="Source Sans Pro" w:hAnsi="Source Sans Pro" w:cs="Arial"/>
          <w:b/>
          <w:i/>
          <w:sz w:val="21"/>
          <w:szCs w:val="21"/>
          <w:u w:val="single"/>
        </w:rPr>
      </w:pPr>
      <w:r w:rsidRPr="00652F12">
        <w:rPr>
          <w:rFonts w:ascii="Source Sans Pro" w:hAnsi="Source Sans Pro" w:cs="Arial"/>
          <w:b/>
          <w:i/>
          <w:sz w:val="21"/>
          <w:szCs w:val="21"/>
          <w:u w:val="single"/>
        </w:rPr>
        <w:t>PUERTAS CORREDERAS</w:t>
      </w:r>
    </w:p>
    <w:p w14:paraId="21376951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65D005DD" w14:textId="77777777" w:rsidR="00EF43C8" w:rsidRPr="00652F12" w:rsidRDefault="00EF43C8" w:rsidP="009D16BA">
      <w:pPr>
        <w:ind w:left="142"/>
        <w:rPr>
          <w:rFonts w:ascii="Source Sans Pro" w:hAnsi="Source Sans Pro" w:cs="Arial"/>
          <w:b/>
          <w:sz w:val="21"/>
          <w:szCs w:val="21"/>
        </w:rPr>
      </w:pPr>
      <w:r w:rsidRPr="00652F12">
        <w:rPr>
          <w:rFonts w:ascii="Source Sans Pro" w:hAnsi="Source Sans Pro" w:cs="Arial"/>
          <w:b/>
          <w:sz w:val="21"/>
          <w:szCs w:val="21"/>
        </w:rPr>
        <w:t>1.- COMPROBACIONES Y AJUSTES:</w:t>
      </w:r>
    </w:p>
    <w:p w14:paraId="787DED63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1208E3B5" w14:textId="77777777" w:rsidR="00EF43C8" w:rsidRPr="00652F12" w:rsidRDefault="00EF43C8" w:rsidP="009D16BA">
      <w:pPr>
        <w:numPr>
          <w:ilvl w:val="0"/>
          <w:numId w:val="6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 xml:space="preserve">Chequear visualmente el estado de la perfilería, </w:t>
      </w:r>
      <w:proofErr w:type="spellStart"/>
      <w:r w:rsidRPr="00652F12">
        <w:rPr>
          <w:rFonts w:ascii="Source Sans Pro" w:hAnsi="Source Sans Pro" w:cs="Arial"/>
          <w:sz w:val="21"/>
          <w:szCs w:val="21"/>
        </w:rPr>
        <w:t>felpillos</w:t>
      </w:r>
      <w:proofErr w:type="spellEnd"/>
      <w:r w:rsidRPr="00652F12">
        <w:rPr>
          <w:rFonts w:ascii="Source Sans Pro" w:hAnsi="Source Sans Pro" w:cs="Arial"/>
          <w:sz w:val="21"/>
          <w:szCs w:val="21"/>
        </w:rPr>
        <w:t>, gomas (fijación y limpieza), cristales. Comprobar el estado de las guías de suelo y cambiar si hace falta.</w:t>
      </w:r>
    </w:p>
    <w:p w14:paraId="7A144A3A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77708B1A" w14:textId="77777777" w:rsidR="00EF43C8" w:rsidRPr="00652F12" w:rsidRDefault="00EF43C8" w:rsidP="009D16BA">
      <w:pPr>
        <w:numPr>
          <w:ilvl w:val="0"/>
          <w:numId w:val="6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Observar el funcionamiento de la puerta. Verificando velocidad, aceleración, fuerza.</w:t>
      </w:r>
    </w:p>
    <w:p w14:paraId="33956459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05378693" w14:textId="77777777" w:rsidR="00EF43C8" w:rsidRPr="00652F12" w:rsidRDefault="00EF43C8" w:rsidP="009D16BA">
      <w:pPr>
        <w:numPr>
          <w:ilvl w:val="0"/>
          <w:numId w:val="6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Comprobar el estado del selector variando las diferentes posiciones. Comprobación del cerrojo (opción)</w:t>
      </w:r>
    </w:p>
    <w:p w14:paraId="3E325985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2CA10BEC" w14:textId="77777777" w:rsidR="00EF43C8" w:rsidRPr="00652F12" w:rsidRDefault="00EF43C8" w:rsidP="009D16BA">
      <w:pPr>
        <w:numPr>
          <w:ilvl w:val="0"/>
          <w:numId w:val="6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Activación: comprobación de los radares exteriores e interiores, (ajustar si procede). Otras posibles unidades de activación, (tarjeteros, pulsadores, mandos a distancia.)</w:t>
      </w:r>
    </w:p>
    <w:p w14:paraId="395336F3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486FD66D" w14:textId="77777777" w:rsidR="00EF43C8" w:rsidRPr="00652F12" w:rsidRDefault="00EF43C8" w:rsidP="009D16BA">
      <w:pPr>
        <w:numPr>
          <w:ilvl w:val="0"/>
          <w:numId w:val="6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Seguridades: verificar que actúan las fotocélulas, que están bien, fijadas y limpias de polvo.</w:t>
      </w:r>
    </w:p>
    <w:p w14:paraId="0581FEC0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6716B57C" w14:textId="77777777" w:rsidR="00EF43C8" w:rsidRPr="00652F12" w:rsidRDefault="00EF43C8" w:rsidP="009D16BA">
      <w:pPr>
        <w:numPr>
          <w:ilvl w:val="0"/>
          <w:numId w:val="6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 xml:space="preserve">En el caso de ser perfilerías antipático comprobar su correcto funcionamiento. (Ajustar y limpiar </w:t>
      </w:r>
      <w:proofErr w:type="spellStart"/>
      <w:r w:rsidRPr="00652F12">
        <w:rPr>
          <w:rFonts w:ascii="Source Sans Pro" w:hAnsi="Source Sans Pro" w:cs="Arial"/>
          <w:sz w:val="21"/>
          <w:szCs w:val="21"/>
        </w:rPr>
        <w:t>ball-cach</w:t>
      </w:r>
      <w:proofErr w:type="spellEnd"/>
      <w:r w:rsidRPr="00652F12">
        <w:rPr>
          <w:rFonts w:ascii="Source Sans Pro" w:hAnsi="Source Sans Pro" w:cs="Arial"/>
          <w:sz w:val="21"/>
          <w:szCs w:val="21"/>
        </w:rPr>
        <w:t>)</w:t>
      </w:r>
    </w:p>
    <w:p w14:paraId="6D3D368D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6062BDA0" w14:textId="77777777" w:rsidR="00EF43C8" w:rsidRPr="00652F12" w:rsidRDefault="00EF43C8" w:rsidP="009D16BA">
      <w:pPr>
        <w:numPr>
          <w:ilvl w:val="0"/>
          <w:numId w:val="6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 xml:space="preserve">Verificar la parada instantánea de la puerta abatiendo las hojas en el sentido de la evacuación, las hojas no deben caerse al suelo, (ajuste de brazo antipánico). </w:t>
      </w:r>
    </w:p>
    <w:p w14:paraId="47118D73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076C44F4" w14:textId="77777777" w:rsidR="00EF43C8" w:rsidRPr="00652F12" w:rsidRDefault="00EF43C8" w:rsidP="009D16BA">
      <w:pPr>
        <w:numPr>
          <w:ilvl w:val="0"/>
          <w:numId w:val="6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Verificar que las hojas se abaten con la presión suficiente y que se vuelven a su posición normal con facilidad (Ajustes y limpieza si procede).</w:t>
      </w:r>
    </w:p>
    <w:p w14:paraId="5F9E05C0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4C4F9108" w14:textId="77777777" w:rsidR="00EF43C8" w:rsidRPr="00652F12" w:rsidRDefault="00EF43C8" w:rsidP="009D16BA">
      <w:pPr>
        <w:numPr>
          <w:ilvl w:val="0"/>
          <w:numId w:val="6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Comprobación de la batería de emergencia (desconectando la alimentación 220V. La puerta debe abrirse excepto en cerrado).</w:t>
      </w:r>
    </w:p>
    <w:p w14:paraId="237BCA88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5F158917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58390E59" w14:textId="77777777" w:rsidR="00EF43C8" w:rsidRPr="00652F12" w:rsidRDefault="00EF43C8" w:rsidP="009D16BA">
      <w:pPr>
        <w:ind w:left="142"/>
        <w:rPr>
          <w:rFonts w:ascii="Source Sans Pro" w:hAnsi="Source Sans Pro" w:cs="Arial"/>
          <w:b/>
          <w:sz w:val="21"/>
          <w:szCs w:val="21"/>
        </w:rPr>
      </w:pPr>
      <w:r w:rsidRPr="00652F12">
        <w:rPr>
          <w:rFonts w:ascii="Source Sans Pro" w:hAnsi="Source Sans Pro" w:cs="Arial"/>
          <w:b/>
          <w:sz w:val="21"/>
          <w:szCs w:val="21"/>
        </w:rPr>
        <w:t>2.- INTERIOR DEL MECANISMO:</w:t>
      </w:r>
    </w:p>
    <w:p w14:paraId="1FE841C1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2C2F3F4A" w14:textId="77777777" w:rsidR="00EF43C8" w:rsidRPr="00652F12" w:rsidRDefault="00EF43C8" w:rsidP="009D16BA">
      <w:pPr>
        <w:numPr>
          <w:ilvl w:val="0"/>
          <w:numId w:val="7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Descubrir el mecanismo y verificar el estado de la correa del motor (que no está pellizcada o deteriorada) y la tensión de esta correa, (que no está muy tensa, ni destensada).</w:t>
      </w:r>
    </w:p>
    <w:p w14:paraId="2B9BB9E0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10367E80" w14:textId="77777777" w:rsidR="00EF43C8" w:rsidRPr="00652F12" w:rsidRDefault="00EF43C8" w:rsidP="009D16BA">
      <w:pPr>
        <w:numPr>
          <w:ilvl w:val="0"/>
          <w:numId w:val="7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Si tiene cerrojo comprobar que actúa sin esfuerzos y que bloquea y libera las dos hojas con facilidad.</w:t>
      </w:r>
    </w:p>
    <w:p w14:paraId="159FA9DA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2943D043" w14:textId="77777777" w:rsidR="00EF43C8" w:rsidRPr="00652F12" w:rsidRDefault="00EF43C8" w:rsidP="009D16BA">
      <w:pPr>
        <w:numPr>
          <w:ilvl w:val="0"/>
          <w:numId w:val="7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Limpiar el carril y mover la puerta manualmente para comprobar que esta va suave y no se produce ningún roce. Las barras de la transmisión deben estar perfectamente alineadas y horizontales.</w:t>
      </w:r>
    </w:p>
    <w:p w14:paraId="2999596E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7B08A88D" w14:textId="77777777" w:rsidR="00EF43C8" w:rsidRPr="00652F12" w:rsidRDefault="00EF43C8" w:rsidP="009D16BA">
      <w:pPr>
        <w:numPr>
          <w:ilvl w:val="0"/>
          <w:numId w:val="7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Verificar aplomado de las hojas para que realice un buen cierre.</w:t>
      </w:r>
    </w:p>
    <w:p w14:paraId="16371007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596E981C" w14:textId="77777777" w:rsidR="00EF43C8" w:rsidRPr="00652F12" w:rsidRDefault="00EF43C8" w:rsidP="009D16BA">
      <w:pPr>
        <w:numPr>
          <w:ilvl w:val="0"/>
          <w:numId w:val="7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Comprobar bornes de conexión y cableado en general, amarrando los cables con correíllas.</w:t>
      </w:r>
    </w:p>
    <w:p w14:paraId="02CE5386" w14:textId="77777777" w:rsidR="00EF43C8" w:rsidRPr="00652F12" w:rsidRDefault="00EF43C8" w:rsidP="009D16BA">
      <w:pPr>
        <w:ind w:left="142"/>
        <w:rPr>
          <w:rFonts w:ascii="Source Sans Pro" w:hAnsi="Source Sans Pro" w:cs="Arial"/>
          <w:sz w:val="21"/>
          <w:szCs w:val="21"/>
        </w:rPr>
      </w:pPr>
    </w:p>
    <w:p w14:paraId="4066FDFE" w14:textId="77777777" w:rsidR="00EF43C8" w:rsidRDefault="00EF43C8" w:rsidP="00026CD6">
      <w:pPr>
        <w:numPr>
          <w:ilvl w:val="0"/>
          <w:numId w:val="7"/>
        </w:numPr>
        <w:ind w:left="142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Limpieza de cobertor por el exterior e interior.</w:t>
      </w:r>
    </w:p>
    <w:p w14:paraId="797C1EE2" w14:textId="77777777" w:rsidR="00CD7E3A" w:rsidRDefault="00CD7E3A" w:rsidP="00CD7E3A">
      <w:pPr>
        <w:rPr>
          <w:rFonts w:ascii="Source Sans Pro" w:hAnsi="Source Sans Pro" w:cs="Arial"/>
          <w:sz w:val="21"/>
          <w:szCs w:val="21"/>
        </w:rPr>
      </w:pPr>
    </w:p>
    <w:p w14:paraId="5487AEB5" w14:textId="77777777" w:rsidR="00CD7E3A" w:rsidRDefault="00CD7E3A" w:rsidP="00CD7E3A">
      <w:pPr>
        <w:rPr>
          <w:rFonts w:ascii="Source Sans Pro" w:hAnsi="Source Sans Pro" w:cs="Arial"/>
          <w:sz w:val="21"/>
          <w:szCs w:val="21"/>
        </w:rPr>
      </w:pPr>
    </w:p>
    <w:p w14:paraId="6684D8A2" w14:textId="37CD04BE" w:rsidR="00EF43C8" w:rsidRPr="00652F12" w:rsidRDefault="00EF43C8" w:rsidP="009D16BA">
      <w:pPr>
        <w:ind w:left="284"/>
        <w:rPr>
          <w:rFonts w:ascii="Source Sans Pro" w:hAnsi="Source Sans Pro" w:cs="Arial"/>
          <w:b/>
          <w:i/>
          <w:sz w:val="21"/>
          <w:szCs w:val="21"/>
          <w:u w:val="single"/>
        </w:rPr>
      </w:pPr>
      <w:r w:rsidRPr="00652F12">
        <w:rPr>
          <w:rFonts w:ascii="Source Sans Pro" w:hAnsi="Source Sans Pro" w:cs="Arial"/>
          <w:b/>
          <w:i/>
          <w:sz w:val="21"/>
          <w:szCs w:val="21"/>
          <w:u w:val="single"/>
        </w:rPr>
        <w:t>PUERTAS BATIENTES</w:t>
      </w:r>
    </w:p>
    <w:p w14:paraId="1177A7D4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366E35DA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3D14AAC3" w14:textId="77777777" w:rsidR="00EF43C8" w:rsidRPr="00652F12" w:rsidRDefault="00EF43C8" w:rsidP="009D16BA">
      <w:pPr>
        <w:ind w:left="284"/>
        <w:rPr>
          <w:rFonts w:ascii="Source Sans Pro" w:hAnsi="Source Sans Pro" w:cs="Arial"/>
          <w:b/>
          <w:sz w:val="21"/>
          <w:szCs w:val="21"/>
        </w:rPr>
      </w:pPr>
      <w:r w:rsidRPr="00652F12">
        <w:rPr>
          <w:rFonts w:ascii="Source Sans Pro" w:hAnsi="Source Sans Pro" w:cs="Arial"/>
          <w:b/>
          <w:sz w:val="21"/>
          <w:szCs w:val="21"/>
        </w:rPr>
        <w:t>1.- COMPROBACIONES Y AJUSTES:</w:t>
      </w:r>
    </w:p>
    <w:p w14:paraId="5CE7C804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42F11EBD" w14:textId="77777777" w:rsidR="00EF43C8" w:rsidRPr="00652F12" w:rsidRDefault="00EF43C8" w:rsidP="009D16BA">
      <w:pPr>
        <w:numPr>
          <w:ilvl w:val="0"/>
          <w:numId w:val="8"/>
        </w:numPr>
        <w:ind w:left="284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 xml:space="preserve">Chequear visualmente el estado de la perfilería, </w:t>
      </w:r>
      <w:proofErr w:type="spellStart"/>
      <w:r w:rsidRPr="00652F12">
        <w:rPr>
          <w:rFonts w:ascii="Source Sans Pro" w:hAnsi="Source Sans Pro" w:cs="Arial"/>
          <w:sz w:val="21"/>
          <w:szCs w:val="21"/>
        </w:rPr>
        <w:t>felpillos</w:t>
      </w:r>
      <w:proofErr w:type="spellEnd"/>
      <w:r w:rsidRPr="00652F12">
        <w:rPr>
          <w:rFonts w:ascii="Source Sans Pro" w:hAnsi="Source Sans Pro" w:cs="Arial"/>
          <w:sz w:val="21"/>
          <w:szCs w:val="21"/>
        </w:rPr>
        <w:t xml:space="preserve">, gomas (fijación y limpieza), cristales. Comprobar el estado de las bisagras y puntos de giro, lubricar si hace falta. </w:t>
      </w:r>
    </w:p>
    <w:p w14:paraId="373517F8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0AE560BC" w14:textId="77777777" w:rsidR="00EF43C8" w:rsidRPr="00652F12" w:rsidRDefault="00EF43C8" w:rsidP="009D16BA">
      <w:pPr>
        <w:numPr>
          <w:ilvl w:val="0"/>
          <w:numId w:val="8"/>
        </w:numPr>
        <w:ind w:left="284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 xml:space="preserve">Observar el funcionamiento de la puerta. Verificando velocidad, aceleración, fuerza. </w:t>
      </w:r>
    </w:p>
    <w:p w14:paraId="1CBCC565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10ED76E8" w14:textId="77777777" w:rsidR="00EF43C8" w:rsidRPr="00652F12" w:rsidRDefault="00EF43C8" w:rsidP="009D16BA">
      <w:pPr>
        <w:numPr>
          <w:ilvl w:val="0"/>
          <w:numId w:val="8"/>
        </w:numPr>
        <w:ind w:left="284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 xml:space="preserve">Comprobar el estado del selector variando las diferentes posiciones. Comprobación del cerrojo (opción) </w:t>
      </w:r>
    </w:p>
    <w:p w14:paraId="00F75324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2B3D29AD" w14:textId="77777777" w:rsidR="00EF43C8" w:rsidRPr="00652F12" w:rsidRDefault="00EF43C8" w:rsidP="009D16BA">
      <w:pPr>
        <w:numPr>
          <w:ilvl w:val="0"/>
          <w:numId w:val="8"/>
        </w:numPr>
        <w:ind w:left="284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 xml:space="preserve">Activación, comprobación de los radares exteriores e interiores, (ajustar si procede). Otras posibles unidades de activación, (tarjeteros, pulsadores, mandos a distancia.) </w:t>
      </w:r>
    </w:p>
    <w:p w14:paraId="6474A205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69788CCB" w14:textId="77777777" w:rsidR="00EF43C8" w:rsidRPr="00652F12" w:rsidRDefault="00EF43C8" w:rsidP="009D16BA">
      <w:pPr>
        <w:numPr>
          <w:ilvl w:val="0"/>
          <w:numId w:val="8"/>
        </w:numPr>
        <w:ind w:left="284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 xml:space="preserve">Seguridades, verificar que actúan los </w:t>
      </w:r>
      <w:proofErr w:type="spellStart"/>
      <w:r w:rsidRPr="00652F12">
        <w:rPr>
          <w:rFonts w:ascii="Source Sans Pro" w:hAnsi="Source Sans Pro" w:cs="Arial"/>
          <w:sz w:val="21"/>
          <w:szCs w:val="21"/>
        </w:rPr>
        <w:t>Eyetech</w:t>
      </w:r>
      <w:proofErr w:type="spellEnd"/>
      <w:r w:rsidRPr="00652F12">
        <w:rPr>
          <w:rFonts w:ascii="Source Sans Pro" w:hAnsi="Source Sans Pro" w:cs="Arial"/>
          <w:sz w:val="21"/>
          <w:szCs w:val="21"/>
        </w:rPr>
        <w:t xml:space="preserve">, que están bien, fijados y limpios de polvo. (Ajustar si procede) </w:t>
      </w:r>
    </w:p>
    <w:p w14:paraId="50BE2A5A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2A6B9A09" w14:textId="77777777" w:rsidR="007A3EBB" w:rsidRPr="00652F12" w:rsidRDefault="00EF43C8" w:rsidP="009D16BA">
      <w:pPr>
        <w:numPr>
          <w:ilvl w:val="0"/>
          <w:numId w:val="8"/>
        </w:numPr>
        <w:ind w:left="284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 xml:space="preserve">En el caso de brazos antipático comprobar su correcto funcionamiento. (Ajustar y limpiar </w:t>
      </w:r>
      <w:proofErr w:type="spellStart"/>
      <w:r w:rsidRPr="00652F12">
        <w:rPr>
          <w:rFonts w:ascii="Source Sans Pro" w:hAnsi="Source Sans Pro" w:cs="Arial"/>
          <w:sz w:val="21"/>
          <w:szCs w:val="21"/>
        </w:rPr>
        <w:t>ball-cach</w:t>
      </w:r>
      <w:proofErr w:type="spellEnd"/>
      <w:r w:rsidRPr="00652F12">
        <w:rPr>
          <w:rFonts w:ascii="Source Sans Pro" w:hAnsi="Source Sans Pro" w:cs="Arial"/>
          <w:sz w:val="21"/>
          <w:szCs w:val="21"/>
        </w:rPr>
        <w:t xml:space="preserve">). </w:t>
      </w:r>
    </w:p>
    <w:p w14:paraId="7D010EDA" w14:textId="77777777" w:rsidR="007A3EBB" w:rsidRPr="00652F12" w:rsidRDefault="007A3EBB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2CA3BB41" w14:textId="77777777" w:rsidR="00EF43C8" w:rsidRPr="00652F12" w:rsidRDefault="00EF43C8" w:rsidP="009D16BA">
      <w:pPr>
        <w:numPr>
          <w:ilvl w:val="0"/>
          <w:numId w:val="8"/>
        </w:numPr>
        <w:ind w:left="284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Verificar la parada instantánea del motor abatiendo las hojas en el sentido de la evacuación.</w:t>
      </w:r>
    </w:p>
    <w:p w14:paraId="20538269" w14:textId="77777777" w:rsidR="007A3EBB" w:rsidRPr="00652F12" w:rsidRDefault="007A3EBB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3EBEA8CC" w14:textId="77777777" w:rsidR="00EF43C8" w:rsidRPr="00652F12" w:rsidRDefault="00EF43C8" w:rsidP="009D16BA">
      <w:pPr>
        <w:numPr>
          <w:ilvl w:val="0"/>
          <w:numId w:val="8"/>
        </w:numPr>
        <w:ind w:left="284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lastRenderedPageBreak/>
        <w:t xml:space="preserve">Verificar que las hojas se abaten con la presión suficiente y que se vuelven a su posición normal con facilidad (Ajustes y limpieza si procede). </w:t>
      </w:r>
    </w:p>
    <w:p w14:paraId="335E6BDB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485C90EB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2230517A" w14:textId="77777777" w:rsidR="00EF43C8" w:rsidRPr="00652F12" w:rsidRDefault="00EF43C8" w:rsidP="009D16BA">
      <w:pPr>
        <w:ind w:left="284"/>
        <w:rPr>
          <w:rFonts w:ascii="Source Sans Pro" w:hAnsi="Source Sans Pro" w:cs="Arial"/>
          <w:b/>
          <w:sz w:val="21"/>
          <w:szCs w:val="21"/>
        </w:rPr>
      </w:pPr>
      <w:r w:rsidRPr="00652F12">
        <w:rPr>
          <w:rFonts w:ascii="Source Sans Pro" w:hAnsi="Source Sans Pro" w:cs="Arial"/>
          <w:b/>
          <w:sz w:val="21"/>
          <w:szCs w:val="21"/>
        </w:rPr>
        <w:t>2.- INTERIOR DEL MECANISMO:</w:t>
      </w:r>
    </w:p>
    <w:p w14:paraId="32B28173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051CE13D" w14:textId="77777777" w:rsidR="00EF43C8" w:rsidRPr="00652F12" w:rsidRDefault="00EF43C8" w:rsidP="009D16BA">
      <w:pPr>
        <w:numPr>
          <w:ilvl w:val="0"/>
          <w:numId w:val="9"/>
        </w:numPr>
        <w:ind w:left="284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 xml:space="preserve">Descubrir el mecanismo y verificar el estado de la correa del motor (que no está pellizcada o deteriorada) y la tensión de esta correa, (que no está muy tensa, ni destensada). </w:t>
      </w:r>
    </w:p>
    <w:p w14:paraId="3FF98713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62BFBA4B" w14:textId="77777777" w:rsidR="00EF43C8" w:rsidRPr="00652F12" w:rsidRDefault="00EF43C8" w:rsidP="009D16BA">
      <w:pPr>
        <w:numPr>
          <w:ilvl w:val="0"/>
          <w:numId w:val="9"/>
        </w:numPr>
        <w:ind w:left="284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Comprobar que tiene aceite suficiente y que no tiene pérdidas importantes.</w:t>
      </w:r>
    </w:p>
    <w:p w14:paraId="705AB9A4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6390C615" w14:textId="77777777" w:rsidR="00EF43C8" w:rsidRPr="00652F12" w:rsidRDefault="00EF43C8" w:rsidP="009D16BA">
      <w:pPr>
        <w:numPr>
          <w:ilvl w:val="0"/>
          <w:numId w:val="9"/>
        </w:numPr>
        <w:ind w:left="284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 xml:space="preserve">Si tiene cerrojo comprobar que actúa sin esfuerzos y que bloquea y libera las dos hojas con facilidad. (Cerraderos) </w:t>
      </w:r>
    </w:p>
    <w:p w14:paraId="440BF70F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1A11D5B7" w14:textId="77777777" w:rsidR="00EF43C8" w:rsidRPr="00652F12" w:rsidRDefault="00EF43C8" w:rsidP="009D16BA">
      <w:pPr>
        <w:numPr>
          <w:ilvl w:val="0"/>
          <w:numId w:val="9"/>
        </w:numPr>
        <w:ind w:left="284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 xml:space="preserve">Comprobar bornes de conexión y cableado en general, amarrando los cables con correíllas. </w:t>
      </w:r>
    </w:p>
    <w:p w14:paraId="39408A19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7BFEB8E5" w14:textId="77777777" w:rsidR="00EF43C8" w:rsidRPr="00652F12" w:rsidRDefault="00EF43C8" w:rsidP="009D16BA">
      <w:pPr>
        <w:numPr>
          <w:ilvl w:val="0"/>
          <w:numId w:val="9"/>
        </w:numPr>
        <w:ind w:left="284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Limpieza de cobertor por el exterior e interior.</w:t>
      </w:r>
    </w:p>
    <w:p w14:paraId="760824E5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317C6133" w14:textId="77777777" w:rsidR="00EF43C8" w:rsidRPr="00652F12" w:rsidRDefault="00EF43C8" w:rsidP="009D16BA">
      <w:pPr>
        <w:numPr>
          <w:ilvl w:val="0"/>
          <w:numId w:val="9"/>
        </w:numPr>
        <w:ind w:left="284"/>
        <w:rPr>
          <w:rFonts w:ascii="Source Sans Pro" w:hAnsi="Source Sans Pro" w:cs="Arial"/>
          <w:sz w:val="21"/>
          <w:szCs w:val="21"/>
        </w:rPr>
      </w:pPr>
      <w:r w:rsidRPr="00652F12">
        <w:rPr>
          <w:rFonts w:ascii="Source Sans Pro" w:hAnsi="Source Sans Pro" w:cs="Arial"/>
          <w:sz w:val="21"/>
          <w:szCs w:val="21"/>
        </w:rPr>
        <w:t>Comprobación de las articulaciones de los brazos, el amarre de este a la hoja,</w:t>
      </w:r>
    </w:p>
    <w:p w14:paraId="0BA9ACAF" w14:textId="77777777" w:rsidR="00EF43C8" w:rsidRPr="00652F12" w:rsidRDefault="00EF43C8" w:rsidP="009D16BA">
      <w:pPr>
        <w:ind w:left="284"/>
        <w:rPr>
          <w:rFonts w:ascii="Source Sans Pro" w:hAnsi="Source Sans Pro" w:cs="Arial"/>
          <w:sz w:val="21"/>
          <w:szCs w:val="21"/>
        </w:rPr>
      </w:pPr>
    </w:p>
    <w:p w14:paraId="0752702C" w14:textId="77777777" w:rsidR="00EF43C8" w:rsidRPr="00652F12" w:rsidRDefault="00EF43C8" w:rsidP="007A3EBB">
      <w:pPr>
        <w:ind w:left="720"/>
        <w:rPr>
          <w:rFonts w:ascii="Source Sans Pro" w:hAnsi="Source Sans Pro" w:cs="Arial"/>
          <w:sz w:val="21"/>
          <w:szCs w:val="21"/>
        </w:rPr>
      </w:pPr>
    </w:p>
    <w:p w14:paraId="00A5FD1D" w14:textId="279275DF" w:rsidR="00EF43C8" w:rsidRDefault="00CD7E3A" w:rsidP="00CD7E3A">
      <w:pPr>
        <w:jc w:val="both"/>
        <w:rPr>
          <w:rFonts w:ascii="Source Sans Pro" w:hAnsi="Source Sans Pro" w:cs="Arial"/>
          <w:sz w:val="21"/>
          <w:szCs w:val="21"/>
          <w:u w:val="single"/>
        </w:rPr>
      </w:pPr>
      <w:r w:rsidRPr="00CD7E3A">
        <w:rPr>
          <w:rFonts w:ascii="Source Sans Pro" w:hAnsi="Source Sans Pro" w:cs="Arial"/>
          <w:sz w:val="21"/>
          <w:szCs w:val="21"/>
          <w:u w:val="single"/>
        </w:rPr>
        <w:t>Otra normativa</w:t>
      </w:r>
      <w:r>
        <w:rPr>
          <w:rFonts w:ascii="Source Sans Pro" w:hAnsi="Source Sans Pro" w:cs="Arial"/>
          <w:sz w:val="21"/>
          <w:szCs w:val="21"/>
          <w:u w:val="single"/>
        </w:rPr>
        <w:t xml:space="preserve"> aplicable</w:t>
      </w:r>
    </w:p>
    <w:p w14:paraId="53EF2AD6" w14:textId="77777777" w:rsidR="00CD7E3A" w:rsidRDefault="00CD7E3A" w:rsidP="00CD7E3A">
      <w:pPr>
        <w:jc w:val="both"/>
        <w:rPr>
          <w:rFonts w:ascii="Source Sans Pro" w:hAnsi="Source Sans Pro" w:cs="Arial"/>
          <w:sz w:val="21"/>
          <w:szCs w:val="21"/>
          <w:u w:val="single"/>
        </w:rPr>
      </w:pPr>
    </w:p>
    <w:p w14:paraId="56C50888" w14:textId="77777777" w:rsidR="00CD7E3A" w:rsidRPr="001D4B26" w:rsidRDefault="00CD7E3A" w:rsidP="00CD7E3A">
      <w:pPr>
        <w:pStyle w:val="NormalWeb"/>
        <w:spacing w:before="0" w:beforeAutospacing="0"/>
        <w:rPr>
          <w:rFonts w:ascii="Source Sans Pro" w:hAnsi="Source Sans Pro" w:cs="Arial"/>
          <w:sz w:val="21"/>
          <w:szCs w:val="21"/>
        </w:rPr>
      </w:pPr>
      <w:r w:rsidRPr="001D4B26">
        <w:rPr>
          <w:rFonts w:ascii="Source Sans Pro" w:hAnsi="Source Sans Pro" w:cs="Arial"/>
          <w:sz w:val="21"/>
          <w:szCs w:val="21"/>
        </w:rPr>
        <w:t>Una vez instalada, la ley exige que la puerta se mantenga segura a lo largo de los años mediante revisiones profesionales.</w:t>
      </w:r>
    </w:p>
    <w:p w14:paraId="5FE51B27" w14:textId="77777777" w:rsidR="00CD7E3A" w:rsidRPr="001D4B26" w:rsidRDefault="00CD7E3A" w:rsidP="00CD7E3A">
      <w:pPr>
        <w:pStyle w:val="NormalWeb"/>
        <w:numPr>
          <w:ilvl w:val="0"/>
          <w:numId w:val="10"/>
        </w:numPr>
        <w:spacing w:before="0" w:beforeAutospacing="0"/>
        <w:rPr>
          <w:rFonts w:ascii="Source Sans Pro" w:hAnsi="Source Sans Pro" w:cs="Arial"/>
          <w:sz w:val="21"/>
          <w:szCs w:val="21"/>
        </w:rPr>
      </w:pPr>
      <w:r w:rsidRPr="001D4B26">
        <w:rPr>
          <w:rStyle w:val="citation-69"/>
          <w:rFonts w:ascii="Source Sans Pro" w:hAnsi="Source Sans Pro" w:cs="Arial"/>
          <w:b/>
          <w:bCs/>
          <w:sz w:val="21"/>
          <w:szCs w:val="21"/>
        </w:rPr>
        <w:t>UNE 85635:2012:</w:t>
      </w:r>
      <w:r w:rsidRPr="001D4B26">
        <w:rPr>
          <w:rFonts w:ascii="Source Sans Pro" w:hAnsi="Source Sans Pro" w:cs="Arial"/>
          <w:sz w:val="21"/>
          <w:szCs w:val="21"/>
        </w:rPr>
        <w:t xml:space="preserve"> Es la norma específica en España que regula cómo deben realizarse las </w:t>
      </w:r>
      <w:r w:rsidRPr="001D4B26">
        <w:rPr>
          <w:rFonts w:ascii="Source Sans Pro" w:hAnsi="Source Sans Pro" w:cs="Arial"/>
          <w:b/>
          <w:bCs/>
          <w:sz w:val="21"/>
          <w:szCs w:val="21"/>
        </w:rPr>
        <w:t>tareas de mantenimiento, reparación y modificación</w:t>
      </w:r>
      <w:r w:rsidRPr="001D4B26">
        <w:rPr>
          <w:rFonts w:ascii="Source Sans Pro" w:hAnsi="Source Sans Pro" w:cs="Arial"/>
          <w:sz w:val="21"/>
          <w:szCs w:val="21"/>
        </w:rPr>
        <w:t xml:space="preserve"> de las puertas de garaje e industriales. Establece la obligatoriedad de llevar un libro de mantenimiento. </w:t>
      </w:r>
    </w:p>
    <w:p w14:paraId="4D0F1026" w14:textId="77777777" w:rsidR="00CD7E3A" w:rsidRPr="001D4B26" w:rsidRDefault="00CD7E3A" w:rsidP="00CD7E3A">
      <w:pPr>
        <w:pStyle w:val="NormalWeb"/>
        <w:numPr>
          <w:ilvl w:val="0"/>
          <w:numId w:val="10"/>
        </w:numPr>
        <w:spacing w:before="0" w:beforeAutospacing="0"/>
        <w:rPr>
          <w:rFonts w:ascii="Source Sans Pro" w:hAnsi="Source Sans Pro" w:cs="Arial"/>
          <w:sz w:val="21"/>
          <w:szCs w:val="21"/>
        </w:rPr>
      </w:pPr>
      <w:r w:rsidRPr="001D4B26">
        <w:rPr>
          <w:rStyle w:val="citation-66"/>
          <w:rFonts w:ascii="Source Sans Pro" w:hAnsi="Source Sans Pro" w:cs="Arial"/>
          <w:b/>
          <w:bCs/>
          <w:sz w:val="21"/>
          <w:szCs w:val="21"/>
        </w:rPr>
        <w:t>Real Decreto 1215/1997:</w:t>
      </w:r>
      <w:r w:rsidRPr="001D4B26">
        <w:rPr>
          <w:rFonts w:ascii="Source Sans Pro" w:hAnsi="Source Sans Pro" w:cs="Arial"/>
          <w:sz w:val="21"/>
          <w:szCs w:val="21"/>
        </w:rPr>
        <w:t xml:space="preserve"> En el ámbito laboral (empresas, naves industriales), esta ley española transpone la directiva de equipos de trabajo, exigiendo que las puertas y barreras se sometan a un mantenimiento preventivo riguroso para proteger a los trabajadores. </w:t>
      </w:r>
    </w:p>
    <w:p w14:paraId="55EB4E01" w14:textId="77777777" w:rsidR="00CD7E3A" w:rsidRPr="00CD7E3A" w:rsidRDefault="00CD7E3A" w:rsidP="00CD7E3A">
      <w:pPr>
        <w:pStyle w:val="Ttulo2"/>
        <w:jc w:val="left"/>
        <w:rPr>
          <w:rFonts w:ascii="Source Sans Pro" w:hAnsi="Source Sans Pro" w:cs="Arial"/>
          <w:sz w:val="21"/>
          <w:szCs w:val="21"/>
          <w:lang w:val="es-ES"/>
        </w:rPr>
      </w:pPr>
      <w:r w:rsidRPr="00CD7E3A">
        <w:rPr>
          <w:rStyle w:val="citation-65"/>
          <w:rFonts w:ascii="Source Sans Pro" w:hAnsi="Source Sans Pro" w:cs="Arial"/>
          <w:sz w:val="21"/>
          <w:szCs w:val="21"/>
          <w:lang w:val="es-ES"/>
        </w:rPr>
        <w:t>4. Código Técnico de la Edificación (CTE) en España</w:t>
      </w:r>
      <w:r w:rsidRPr="00CD7E3A">
        <w:rPr>
          <w:rFonts w:ascii="Source Sans Pro" w:hAnsi="Source Sans Pro" w:cs="Arial"/>
          <w:sz w:val="21"/>
          <w:szCs w:val="21"/>
          <w:lang w:val="es-ES"/>
        </w:rPr>
        <w:t xml:space="preserve"> </w:t>
      </w:r>
    </w:p>
    <w:p w14:paraId="3F1C7227" w14:textId="77777777" w:rsidR="00CD7E3A" w:rsidRPr="001D4B26" w:rsidRDefault="00CD7E3A" w:rsidP="00CD7E3A">
      <w:pPr>
        <w:pStyle w:val="NormalWeb"/>
        <w:spacing w:before="0" w:beforeAutospacing="0"/>
        <w:rPr>
          <w:rFonts w:ascii="Source Sans Pro" w:hAnsi="Source Sans Pro" w:cs="Arial"/>
          <w:sz w:val="21"/>
          <w:szCs w:val="21"/>
        </w:rPr>
      </w:pPr>
      <w:r w:rsidRPr="001D4B26">
        <w:rPr>
          <w:rFonts w:ascii="Source Sans Pro" w:hAnsi="Source Sans Pro" w:cs="Arial"/>
          <w:sz w:val="21"/>
          <w:szCs w:val="21"/>
        </w:rPr>
        <w:t>El CTE (especialmente en sus Documentos Básicos) incluye exigencias obligatorias para estas instalaciones dentro de los edificios:</w:t>
      </w:r>
    </w:p>
    <w:p w14:paraId="41540A53" w14:textId="77777777" w:rsidR="00CD7E3A" w:rsidRPr="001D4B26" w:rsidRDefault="00CD7E3A" w:rsidP="00CD7E3A">
      <w:pPr>
        <w:pStyle w:val="NormalWeb"/>
        <w:numPr>
          <w:ilvl w:val="0"/>
          <w:numId w:val="11"/>
        </w:numPr>
        <w:spacing w:before="0" w:beforeAutospacing="0"/>
        <w:rPr>
          <w:rFonts w:ascii="Source Sans Pro" w:hAnsi="Source Sans Pro" w:cs="Arial"/>
          <w:sz w:val="21"/>
          <w:szCs w:val="21"/>
        </w:rPr>
      </w:pPr>
      <w:r w:rsidRPr="001D4B26">
        <w:rPr>
          <w:rFonts w:ascii="Source Sans Pro" w:hAnsi="Source Sans Pro" w:cs="Arial"/>
          <w:b/>
          <w:bCs/>
          <w:sz w:val="21"/>
          <w:szCs w:val="21"/>
        </w:rPr>
        <w:t>DB-SUA (Seguridad de Utilización y Accesibilidad):</w:t>
      </w:r>
      <w:r w:rsidRPr="001D4B26">
        <w:rPr>
          <w:rFonts w:ascii="Source Sans Pro" w:hAnsi="Source Sans Pro" w:cs="Arial"/>
          <w:sz w:val="21"/>
          <w:szCs w:val="21"/>
        </w:rPr>
        <w:t xml:space="preserve"> </w:t>
      </w:r>
      <w:r w:rsidRPr="001D4B26">
        <w:rPr>
          <w:rStyle w:val="citation-64"/>
          <w:rFonts w:ascii="Source Sans Pro" w:hAnsi="Source Sans Pro" w:cs="Arial"/>
          <w:sz w:val="21"/>
          <w:szCs w:val="21"/>
        </w:rPr>
        <w:t>Exige que las puertas automáticas dispongan de sistemas de protección contra el atrapamiento, sistemas de parada de emergencia y que faciliten la accesibilidad universal.</w:t>
      </w:r>
      <w:r w:rsidRPr="001D4B26">
        <w:rPr>
          <w:rFonts w:ascii="Source Sans Pro" w:hAnsi="Source Sans Pro" w:cs="Arial"/>
          <w:sz w:val="21"/>
          <w:szCs w:val="21"/>
        </w:rPr>
        <w:t xml:space="preserve"> </w:t>
      </w:r>
    </w:p>
    <w:p w14:paraId="501CE8EB" w14:textId="77777777" w:rsidR="00CD7E3A" w:rsidRPr="001D4B26" w:rsidRDefault="00CD7E3A" w:rsidP="00CD7E3A">
      <w:pPr>
        <w:pStyle w:val="NormalWeb"/>
        <w:numPr>
          <w:ilvl w:val="0"/>
          <w:numId w:val="11"/>
        </w:numPr>
        <w:spacing w:before="0" w:beforeAutospacing="0"/>
        <w:rPr>
          <w:rFonts w:ascii="Source Sans Pro" w:hAnsi="Source Sans Pro" w:cs="Arial"/>
          <w:sz w:val="21"/>
          <w:szCs w:val="21"/>
        </w:rPr>
      </w:pPr>
      <w:r w:rsidRPr="001D4B26">
        <w:rPr>
          <w:rFonts w:ascii="Source Sans Pro" w:hAnsi="Source Sans Pro" w:cs="Arial"/>
          <w:b/>
          <w:bCs/>
          <w:sz w:val="21"/>
          <w:szCs w:val="21"/>
        </w:rPr>
        <w:t>DB-SI (Seguridad en caso de Incendio):</w:t>
      </w:r>
      <w:r w:rsidRPr="001D4B26">
        <w:rPr>
          <w:rFonts w:ascii="Source Sans Pro" w:hAnsi="Source Sans Pro" w:cs="Arial"/>
          <w:sz w:val="21"/>
          <w:szCs w:val="21"/>
        </w:rPr>
        <w:t xml:space="preserve"> </w:t>
      </w:r>
      <w:r w:rsidRPr="001D4B26">
        <w:rPr>
          <w:rStyle w:val="citation-63"/>
          <w:rFonts w:ascii="Source Sans Pro" w:hAnsi="Source Sans Pro" w:cs="Arial"/>
          <w:sz w:val="21"/>
          <w:szCs w:val="21"/>
        </w:rPr>
        <w:t xml:space="preserve">Regula las puertas automáticas que se sitúan en </w:t>
      </w:r>
      <w:r w:rsidRPr="001D4B26">
        <w:rPr>
          <w:rStyle w:val="citation-63"/>
          <w:rFonts w:ascii="Source Sans Pro" w:hAnsi="Source Sans Pro" w:cs="Arial"/>
          <w:b/>
          <w:bCs/>
          <w:sz w:val="21"/>
          <w:szCs w:val="21"/>
        </w:rPr>
        <w:t>vías de evacuación</w:t>
      </w:r>
      <w:r w:rsidRPr="001D4B26">
        <w:rPr>
          <w:rStyle w:val="citation-63"/>
          <w:rFonts w:ascii="Source Sans Pro" w:hAnsi="Source Sans Pro" w:cs="Arial"/>
          <w:sz w:val="21"/>
          <w:szCs w:val="21"/>
        </w:rPr>
        <w:t>.</w:t>
      </w:r>
      <w:r w:rsidRPr="001D4B26">
        <w:rPr>
          <w:rFonts w:ascii="Source Sans Pro" w:hAnsi="Source Sans Pro" w:cs="Arial"/>
          <w:sz w:val="21"/>
          <w:szCs w:val="21"/>
        </w:rPr>
        <w:t xml:space="preserve"> En caso de fallo de suministro eléctrico o señal de incendio, estas puertas deben abrirse automáticamente o permitir la apertura manual de forma inmediata para no bloquear la salida. </w:t>
      </w:r>
    </w:p>
    <w:p w14:paraId="746B3B6F" w14:textId="77777777" w:rsidR="00CD7E3A" w:rsidRPr="00CD7E3A" w:rsidRDefault="00CD7E3A" w:rsidP="00CD7E3A">
      <w:pPr>
        <w:jc w:val="both"/>
        <w:rPr>
          <w:rFonts w:ascii="Source Sans Pro" w:hAnsi="Source Sans Pro" w:cs="Arial"/>
          <w:sz w:val="21"/>
          <w:szCs w:val="21"/>
          <w:u w:val="single"/>
        </w:rPr>
      </w:pPr>
    </w:p>
    <w:p w14:paraId="7AEBECB1" w14:textId="77777777" w:rsidR="00EF43C8" w:rsidRPr="00652F12" w:rsidRDefault="00EF43C8" w:rsidP="007A3EBB">
      <w:pPr>
        <w:ind w:left="720"/>
        <w:rPr>
          <w:rFonts w:ascii="Source Sans Pro" w:hAnsi="Source Sans Pro" w:cs="Arial"/>
          <w:sz w:val="21"/>
          <w:szCs w:val="21"/>
        </w:rPr>
      </w:pPr>
    </w:p>
    <w:sectPr w:rsidR="00EF43C8" w:rsidRPr="00652F12" w:rsidSect="00026CD6">
      <w:headerReference w:type="default" r:id="rId11"/>
      <w:footerReference w:type="even" r:id="rId12"/>
      <w:footerReference w:type="default" r:id="rId13"/>
      <w:headerReference w:type="first" r:id="rId14"/>
      <w:pgSz w:w="11907" w:h="16840" w:code="9"/>
      <w:pgMar w:top="2137" w:right="1134" w:bottom="851" w:left="1134" w:header="426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E27A97" w14:textId="77777777" w:rsidR="007A3EBB" w:rsidRDefault="007A3EBB">
      <w:r>
        <w:separator/>
      </w:r>
    </w:p>
  </w:endnote>
  <w:endnote w:type="continuationSeparator" w:id="0">
    <w:p w14:paraId="537E17B1" w14:textId="77777777" w:rsidR="007A3EBB" w:rsidRDefault="007A3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ource Sans Pro">
    <w:altName w:val="Source Sans Pro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Yu Gothic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Noto Sans HK Medium">
    <w:altName w:val="Yu Gothic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E9076" w14:textId="77777777" w:rsidR="007A3EBB" w:rsidRDefault="0043393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A3EB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68EC44" w14:textId="77777777" w:rsidR="007A3EBB" w:rsidRDefault="007A3EB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94974" w14:textId="77777777" w:rsidR="007A3EBB" w:rsidRDefault="007A3EBB" w:rsidP="00FB5ADC">
    <w:pPr>
      <w:tabs>
        <w:tab w:val="center" w:pos="4252"/>
        <w:tab w:val="right" w:pos="8504"/>
      </w:tabs>
      <w:rPr>
        <w:rFonts w:ascii="Tahoma" w:hAnsi="Tahoma" w:cs="Tahoma"/>
        <w:w w:val="80"/>
        <w:sz w:val="16"/>
        <w:szCs w:val="16"/>
      </w:rPr>
    </w:pPr>
  </w:p>
  <w:p w14:paraId="34ECCAB7" w14:textId="6B042D30" w:rsidR="007A3EBB" w:rsidRPr="00FB5ADC" w:rsidRDefault="007A3EBB" w:rsidP="00FB5ADC">
    <w:pPr>
      <w:pStyle w:val="Piedepgina"/>
      <w:tabs>
        <w:tab w:val="clear" w:pos="4252"/>
        <w:tab w:val="clear" w:pos="8504"/>
        <w:tab w:val="center" w:pos="4678"/>
        <w:tab w:val="right" w:pos="9356"/>
      </w:tabs>
      <w:rPr>
        <w:rFonts w:ascii="Tahoma" w:hAnsi="Tahoma" w:cs="Tahoma"/>
        <w:color w:val="008000"/>
        <w:sz w:val="8"/>
        <w:lang w:val="es-ES_tradnl"/>
      </w:rPr>
    </w:pPr>
    <w:r>
      <w:rPr>
        <w:rFonts w:cs="Tahoma"/>
        <w:sz w:val="16"/>
      </w:rPr>
      <w:tab/>
    </w:r>
    <w:r>
      <w:rPr>
        <w:rFonts w:cs="Tahoma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B044FB" w14:textId="77777777" w:rsidR="007A3EBB" w:rsidRDefault="007A3EBB">
      <w:r>
        <w:separator/>
      </w:r>
    </w:p>
  </w:footnote>
  <w:footnote w:type="continuationSeparator" w:id="0">
    <w:p w14:paraId="3950463E" w14:textId="77777777" w:rsidR="007A3EBB" w:rsidRDefault="007A3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CEE89D" w14:textId="4BE48079" w:rsidR="00026CD6" w:rsidRDefault="00CD7E3A" w:rsidP="00026CD6">
    <w:pPr>
      <w:tabs>
        <w:tab w:val="left" w:pos="3300"/>
        <w:tab w:val="left" w:pos="3570"/>
      </w:tabs>
      <w:spacing w:after="400"/>
      <w:ind w:left="39" w:right="9" w:hanging="10"/>
    </w:pPr>
    <w:r>
      <w:pict w14:anchorId="49A57394">
        <v:shapetype id="_x0000_t202" coordsize="21600,21600" o:spt="202" path="m,l,21600r21600,l21600,xe">
          <v:stroke joinstyle="miter"/>
          <v:path gradientshapeok="t" o:connecttype="rect"/>
        </v:shapetype>
        <v:shape id="_x0000_s20482" type="#_x0000_t202" style="position:absolute;left:0;text-align:left;margin-left:393.55pt;margin-top:42pt;width:151.45pt;height:36.7pt;z-index:251660288;mso-wrap-distance-left:9.05pt;mso-wrap-distance-right:9.05pt;mso-position-horizontal-relative:page;mso-position-vertical-relative:page" o:allowincell="f" stroked="f">
          <v:fill opacity="0" color2="black"/>
          <v:textbox style="mso-next-textbox:#_x0000_s20482" inset=".05pt,.05pt,.05pt,.05pt">
            <w:txbxContent>
              <w:p w14:paraId="70625A38" w14:textId="57423970" w:rsidR="00026CD6" w:rsidRDefault="00026CD6" w:rsidP="00026CD6">
                <w:pPr>
                  <w:pStyle w:val="Cabecera-Centrodirectivo"/>
                  <w:ind w:left="142"/>
                </w:pPr>
              </w:p>
            </w:txbxContent>
          </v:textbox>
          <w10:wrap anchorx="page" anchory="page"/>
        </v:shape>
      </w:pict>
    </w:r>
    <w:r w:rsidR="00026CD6">
      <w:rPr>
        <w:rFonts w:eastAsia="Calibri" w:cs="Calibri"/>
        <w:color w:val="000000"/>
      </w:rPr>
      <w:t xml:space="preserve">   </w:t>
    </w:r>
    <w:r w:rsidR="00026CD6">
      <w:rPr>
        <w:rFonts w:ascii="Source Sans Pro" w:eastAsia="Source Sans Pro" w:hAnsi="Source Sans Pro" w:cs="Source Sans Pro"/>
        <w:noProof/>
        <w:color w:val="000000"/>
        <w:sz w:val="19"/>
      </w:rPr>
      <w:drawing>
        <wp:inline distT="0" distB="0" distL="0" distR="0" wp14:anchorId="1B471FC5" wp14:editId="75C97042">
          <wp:extent cx="629920" cy="594995"/>
          <wp:effectExtent l="0" t="0" r="0" b="0"/>
          <wp:docPr id="842626869" name="Imagen 3" descr="Un dibuj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121463" name="Imagen 3" descr="Un dibujo con letras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2" t="-76" r="-72" b="-76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59499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26CD6">
      <w:rPr>
        <w:rFonts w:eastAsia="Calibri" w:cs="Calibri"/>
        <w:color w:val="000000"/>
      </w:rPr>
      <w:t xml:space="preserve">      </w:t>
    </w:r>
    <w:r w:rsidR="00026CD6">
      <w:rPr>
        <w:rFonts w:ascii="Source Sans Pro" w:eastAsia="Noto Sans HK" w:hAnsi="Source Sans Pro" w:cs="Source Sans Pro"/>
        <w:color w:val="21211E"/>
        <w:sz w:val="21"/>
        <w:szCs w:val="18"/>
        <w:lang w:eastAsia="en-US"/>
      </w:rPr>
      <w:tab/>
    </w:r>
    <w:r w:rsidR="00026CD6">
      <w:rPr>
        <w:rFonts w:ascii="Source Sans Pro" w:eastAsia="Noto Sans HK" w:hAnsi="Source Sans Pro" w:cs="Source Sans Pro"/>
        <w:color w:val="21211E"/>
        <w:sz w:val="21"/>
        <w:szCs w:val="18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B78F2C" w14:textId="7D762BE3" w:rsidR="00026CD6" w:rsidRDefault="00CD7E3A" w:rsidP="00026CD6">
    <w:pPr>
      <w:tabs>
        <w:tab w:val="left" w:pos="3300"/>
        <w:tab w:val="left" w:pos="3570"/>
      </w:tabs>
      <w:spacing w:after="400"/>
      <w:ind w:left="39" w:right="9" w:hanging="10"/>
    </w:pPr>
    <w:r>
      <w:pict w14:anchorId="72E8E52E">
        <v:shapetype id="_x0000_t202" coordsize="21600,21600" o:spt="202" path="m,l,21600r21600,l21600,xe">
          <v:stroke joinstyle="miter"/>
          <v:path gradientshapeok="t" o:connecttype="rect"/>
        </v:shapetype>
        <v:shape id="_x0000_s20484" type="#_x0000_t202" style="position:absolute;left:0;text-align:left;margin-left:385.8pt;margin-top:42pt;width:159.2pt;height:36.7pt;z-index:251663360;mso-wrap-distance-left:9.05pt;mso-wrap-distance-right:9.05pt;mso-position-horizontal-relative:page;mso-position-vertical-relative:page" o:allowincell="f" stroked="f">
          <v:fill opacity="0" color2="black"/>
          <v:textbox style="mso-next-textbox:#_x0000_s20484" inset=".05pt,.05pt,.05pt,.05pt">
            <w:txbxContent>
              <w:p w14:paraId="6BAD1A68" w14:textId="77777777" w:rsidR="00026CD6" w:rsidRDefault="00026CD6" w:rsidP="00026CD6">
                <w:pPr>
                  <w:pStyle w:val="Cabecera-Consejera"/>
                  <w:ind w:left="142"/>
                </w:pPr>
                <w:r>
                  <w:t>Consejería de Sanidad, Presidencia y Emergencias</w:t>
                </w:r>
              </w:p>
              <w:p w14:paraId="6ADAFBFE" w14:textId="77777777" w:rsidR="00026CD6" w:rsidRDefault="00026CD6" w:rsidP="00026CD6">
                <w:pPr>
                  <w:pStyle w:val="Cabecera-Centrodirectivo"/>
                  <w:ind w:left="142"/>
                </w:pPr>
                <w:r>
                  <w:t>Servicio Andaluz de Salud</w:t>
                </w:r>
              </w:p>
            </w:txbxContent>
          </v:textbox>
          <w10:wrap anchorx="page" anchory="page"/>
        </v:shape>
      </w:pict>
    </w:r>
    <w:r w:rsidR="00026CD6">
      <w:rPr>
        <w:noProof/>
      </w:rPr>
      <w:drawing>
        <wp:anchor distT="0" distB="0" distL="114935" distR="114935" simplePos="0" relativeHeight="251659776" behindDoc="0" locked="0" layoutInCell="0" allowOverlap="1" wp14:anchorId="4269E0FB" wp14:editId="6B255B24">
          <wp:simplePos x="0" y="0"/>
          <wp:positionH relativeFrom="page">
            <wp:posOffset>1045845</wp:posOffset>
          </wp:positionH>
          <wp:positionV relativeFrom="page">
            <wp:posOffset>346075</wp:posOffset>
          </wp:positionV>
          <wp:extent cx="1277620" cy="737235"/>
          <wp:effectExtent l="0" t="0" r="0" b="0"/>
          <wp:wrapNone/>
          <wp:docPr id="1428773607" name="Imagen 2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5354581" name="Imagen 2" descr="Logotip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9" t="-85" r="-49" b="-85"/>
                  <a:stretch>
                    <a:fillRect/>
                  </a:stretch>
                </pic:blipFill>
                <pic:spPr bwMode="auto">
                  <a:xfrm>
                    <a:off x="0" y="0"/>
                    <a:ext cx="1277620" cy="7372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6CD6">
      <w:rPr>
        <w:rFonts w:eastAsia="Calibri" w:cs="Calibri"/>
        <w:color w:val="000000"/>
      </w:rPr>
      <w:t xml:space="preserve">         </w:t>
    </w:r>
    <w:r w:rsidR="00026CD6">
      <w:rPr>
        <w:rFonts w:ascii="Source Sans Pro" w:eastAsia="Noto Sans HK" w:hAnsi="Source Sans Pro" w:cs="Source Sans Pro"/>
        <w:color w:val="21211E"/>
        <w:sz w:val="21"/>
        <w:szCs w:val="18"/>
        <w:lang w:eastAsia="en-US"/>
      </w:rPr>
      <w:tab/>
    </w:r>
    <w:r w:rsidR="00026CD6">
      <w:rPr>
        <w:rFonts w:ascii="Source Sans Pro" w:eastAsia="Noto Sans HK" w:hAnsi="Source Sans Pro" w:cs="Source Sans Pro"/>
        <w:color w:val="21211E"/>
        <w:sz w:val="21"/>
        <w:szCs w:val="18"/>
        <w:lang w:eastAsia="en-US"/>
      </w:rPr>
      <w:tab/>
    </w:r>
  </w:p>
  <w:p w14:paraId="1677FE89" w14:textId="77777777" w:rsidR="00026CD6" w:rsidRDefault="00026CD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84D8BE7C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1928460F"/>
    <w:multiLevelType w:val="hybridMultilevel"/>
    <w:tmpl w:val="6F7E90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24EBB"/>
    <w:multiLevelType w:val="multilevel"/>
    <w:tmpl w:val="59FC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7E2745"/>
    <w:multiLevelType w:val="hybridMultilevel"/>
    <w:tmpl w:val="1ECAA788"/>
    <w:lvl w:ilvl="0" w:tplc="79567652">
      <w:start w:val="1"/>
      <w:numFmt w:val="bullet"/>
      <w:pStyle w:val="Listaconvieta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36C44"/>
    <w:multiLevelType w:val="hybridMultilevel"/>
    <w:tmpl w:val="95B609A2"/>
    <w:lvl w:ilvl="0" w:tplc="8C5E5C38">
      <w:start w:val="1"/>
      <w:numFmt w:val="bullet"/>
      <w:pStyle w:val="Topo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29"/>
        </w:tabs>
        <w:ind w:left="172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9"/>
        </w:tabs>
        <w:ind w:left="24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9"/>
        </w:tabs>
        <w:ind w:left="31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9"/>
        </w:tabs>
        <w:ind w:left="388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9"/>
        </w:tabs>
        <w:ind w:left="46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9"/>
        </w:tabs>
        <w:ind w:left="53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9"/>
        </w:tabs>
        <w:ind w:left="604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9"/>
        </w:tabs>
        <w:ind w:left="6769" w:hanging="360"/>
      </w:pPr>
      <w:rPr>
        <w:rFonts w:ascii="Wingdings" w:hAnsi="Wingdings" w:hint="default"/>
      </w:rPr>
    </w:lvl>
  </w:abstractNum>
  <w:abstractNum w:abstractNumId="5" w15:restartNumberingAfterBreak="0">
    <w:nsid w:val="451615C4"/>
    <w:multiLevelType w:val="hybridMultilevel"/>
    <w:tmpl w:val="47726D76"/>
    <w:lvl w:ilvl="0" w:tplc="0C0A0019">
      <w:start w:val="1"/>
      <w:numFmt w:val="low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887FD7"/>
    <w:multiLevelType w:val="hybridMultilevel"/>
    <w:tmpl w:val="3F08A356"/>
    <w:lvl w:ilvl="0" w:tplc="0C0A0019">
      <w:start w:val="1"/>
      <w:numFmt w:val="low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1AE39B0"/>
    <w:multiLevelType w:val="multilevel"/>
    <w:tmpl w:val="B830B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6450C0"/>
    <w:multiLevelType w:val="hybridMultilevel"/>
    <w:tmpl w:val="3D7641C4"/>
    <w:lvl w:ilvl="0" w:tplc="0C0A0019">
      <w:start w:val="1"/>
      <w:numFmt w:val="low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AB27BCF"/>
    <w:multiLevelType w:val="hybridMultilevel"/>
    <w:tmpl w:val="F490D8E0"/>
    <w:lvl w:ilvl="0" w:tplc="FFFFFFFF">
      <w:start w:val="1"/>
      <w:numFmt w:val="bullet"/>
      <w:pStyle w:val="SFAnormal-11h3rnumberi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C5663B"/>
    <w:multiLevelType w:val="hybridMultilevel"/>
    <w:tmpl w:val="892E3BC8"/>
    <w:lvl w:ilvl="0" w:tplc="0C0A0019">
      <w:start w:val="1"/>
      <w:numFmt w:val="low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1881848">
    <w:abstractNumId w:val="3"/>
  </w:num>
  <w:num w:numId="2" w16cid:durableId="669721743">
    <w:abstractNumId w:val="9"/>
  </w:num>
  <w:num w:numId="3" w16cid:durableId="1843934869">
    <w:abstractNumId w:val="4"/>
  </w:num>
  <w:num w:numId="4" w16cid:durableId="2081167657">
    <w:abstractNumId w:val="0"/>
  </w:num>
  <w:num w:numId="5" w16cid:durableId="1650287628">
    <w:abstractNumId w:val="1"/>
  </w:num>
  <w:num w:numId="6" w16cid:durableId="1665114">
    <w:abstractNumId w:val="8"/>
  </w:num>
  <w:num w:numId="7" w16cid:durableId="1786150276">
    <w:abstractNumId w:val="5"/>
  </w:num>
  <w:num w:numId="8" w16cid:durableId="1691561018">
    <w:abstractNumId w:val="10"/>
  </w:num>
  <w:num w:numId="9" w16cid:durableId="584847702">
    <w:abstractNumId w:val="6"/>
  </w:num>
  <w:num w:numId="10" w16cid:durableId="1228372390">
    <w:abstractNumId w:val="7"/>
  </w:num>
  <w:num w:numId="11" w16cid:durableId="1261913193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7"/>
    <o:shapelayout v:ext="edit">
      <o:idmap v:ext="edit" data="20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51A1"/>
    <w:rsid w:val="00026CD6"/>
    <w:rsid w:val="000414C1"/>
    <w:rsid w:val="000422FC"/>
    <w:rsid w:val="0005605D"/>
    <w:rsid w:val="00077941"/>
    <w:rsid w:val="00087D55"/>
    <w:rsid w:val="000A21BC"/>
    <w:rsid w:val="000D6492"/>
    <w:rsid w:val="00125B95"/>
    <w:rsid w:val="001869EF"/>
    <w:rsid w:val="002006E5"/>
    <w:rsid w:val="00206BC7"/>
    <w:rsid w:val="00207069"/>
    <w:rsid w:val="002650DA"/>
    <w:rsid w:val="002D03A8"/>
    <w:rsid w:val="00305353"/>
    <w:rsid w:val="0032059E"/>
    <w:rsid w:val="00375DCB"/>
    <w:rsid w:val="003B2D7C"/>
    <w:rsid w:val="003D1C37"/>
    <w:rsid w:val="00433931"/>
    <w:rsid w:val="00447BEE"/>
    <w:rsid w:val="00484C6F"/>
    <w:rsid w:val="0049365E"/>
    <w:rsid w:val="004972AC"/>
    <w:rsid w:val="00504091"/>
    <w:rsid w:val="00517611"/>
    <w:rsid w:val="00577E68"/>
    <w:rsid w:val="005A3891"/>
    <w:rsid w:val="005E6A02"/>
    <w:rsid w:val="00652F12"/>
    <w:rsid w:val="006E1248"/>
    <w:rsid w:val="007236CB"/>
    <w:rsid w:val="007528C3"/>
    <w:rsid w:val="007A3EBB"/>
    <w:rsid w:val="00813C0D"/>
    <w:rsid w:val="008451A1"/>
    <w:rsid w:val="00857EB0"/>
    <w:rsid w:val="008801BB"/>
    <w:rsid w:val="00896F9D"/>
    <w:rsid w:val="008B0815"/>
    <w:rsid w:val="008B587F"/>
    <w:rsid w:val="008D45C7"/>
    <w:rsid w:val="00931257"/>
    <w:rsid w:val="009331BB"/>
    <w:rsid w:val="009C1D3B"/>
    <w:rsid w:val="009C2105"/>
    <w:rsid w:val="009D16BA"/>
    <w:rsid w:val="009E2EF4"/>
    <w:rsid w:val="009E7856"/>
    <w:rsid w:val="00A92104"/>
    <w:rsid w:val="00A9517B"/>
    <w:rsid w:val="00AA1E6D"/>
    <w:rsid w:val="00AC1B2F"/>
    <w:rsid w:val="00AE7C69"/>
    <w:rsid w:val="00AF5251"/>
    <w:rsid w:val="00B05EEA"/>
    <w:rsid w:val="00B6726E"/>
    <w:rsid w:val="00BA1ADE"/>
    <w:rsid w:val="00BF1A94"/>
    <w:rsid w:val="00BF2B84"/>
    <w:rsid w:val="00C1244D"/>
    <w:rsid w:val="00C16D48"/>
    <w:rsid w:val="00C50048"/>
    <w:rsid w:val="00C846DC"/>
    <w:rsid w:val="00CD7E3A"/>
    <w:rsid w:val="00D41288"/>
    <w:rsid w:val="00D571CA"/>
    <w:rsid w:val="00D705F9"/>
    <w:rsid w:val="00E1526F"/>
    <w:rsid w:val="00E207E8"/>
    <w:rsid w:val="00E53717"/>
    <w:rsid w:val="00E91E5F"/>
    <w:rsid w:val="00EC14F5"/>
    <w:rsid w:val="00ED624E"/>
    <w:rsid w:val="00ED760C"/>
    <w:rsid w:val="00EE38C1"/>
    <w:rsid w:val="00EF43C8"/>
    <w:rsid w:val="00F0468B"/>
    <w:rsid w:val="00F25DE5"/>
    <w:rsid w:val="00F65631"/>
    <w:rsid w:val="00F77F3B"/>
    <w:rsid w:val="00FB0D6E"/>
    <w:rsid w:val="00FB5A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7"/>
    <o:shapelayout v:ext="edit">
      <o:idmap v:ext="edit" data="1"/>
    </o:shapelayout>
  </w:shapeDefaults>
  <w:decimalSymbol w:val=","/>
  <w:listSeparator w:val=";"/>
  <w14:docId w14:val="51D9E3BD"/>
  <w15:docId w15:val="{47AEF30F-9EEB-492F-B6D7-48300E58B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7941"/>
    <w:rPr>
      <w:sz w:val="24"/>
    </w:rPr>
  </w:style>
  <w:style w:type="paragraph" w:styleId="Ttulo1">
    <w:name w:val="heading 1"/>
    <w:aliases w:val="SFA-Heading 1"/>
    <w:basedOn w:val="Normal"/>
    <w:next w:val="Normal"/>
    <w:qFormat/>
    <w:rsid w:val="00077941"/>
    <w:pPr>
      <w:keepNext/>
      <w:jc w:val="both"/>
      <w:outlineLvl w:val="0"/>
    </w:pPr>
    <w:rPr>
      <w:rFonts w:ascii="Arial" w:hAnsi="Arial"/>
      <w:b/>
      <w:sz w:val="20"/>
      <w:u w:val="single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077941"/>
    <w:pPr>
      <w:keepNext/>
      <w:jc w:val="center"/>
      <w:outlineLvl w:val="1"/>
    </w:pPr>
    <w:rPr>
      <w:rFonts w:ascii="Tahoma" w:hAnsi="Tahoma" w:cs="Tahoma"/>
      <w:sz w:val="28"/>
      <w:lang w:val="en-GB"/>
    </w:rPr>
  </w:style>
  <w:style w:type="paragraph" w:styleId="Ttulo3">
    <w:name w:val="heading 3"/>
    <w:basedOn w:val="Normal"/>
    <w:next w:val="Normal"/>
    <w:qFormat/>
    <w:rsid w:val="00077941"/>
    <w:pPr>
      <w:keepNext/>
      <w:jc w:val="center"/>
      <w:outlineLvl w:val="2"/>
    </w:pPr>
    <w:rPr>
      <w:rFonts w:ascii="Tahoma" w:hAnsi="Tahoma" w:cs="Tahoma"/>
      <w:b/>
      <w:sz w:val="20"/>
      <w:u w:val="single"/>
      <w:lang w:val="es-ES_tradnl"/>
    </w:rPr>
  </w:style>
  <w:style w:type="paragraph" w:styleId="Ttulo4">
    <w:name w:val="heading 4"/>
    <w:basedOn w:val="Normal"/>
    <w:next w:val="Normal"/>
    <w:qFormat/>
    <w:rsid w:val="00077941"/>
    <w:pPr>
      <w:keepNext/>
      <w:jc w:val="right"/>
      <w:outlineLvl w:val="3"/>
    </w:pPr>
    <w:rPr>
      <w:rFonts w:ascii="Tahoma" w:hAnsi="Tahoma" w:cs="Tahoma"/>
      <w:sz w:val="20"/>
      <w:u w:val="single"/>
      <w:lang w:val="es-ES_tradnl"/>
    </w:rPr>
  </w:style>
  <w:style w:type="paragraph" w:styleId="Ttulo5">
    <w:name w:val="heading 5"/>
    <w:basedOn w:val="Normal"/>
    <w:next w:val="Normal"/>
    <w:qFormat/>
    <w:rsid w:val="00077941"/>
    <w:pPr>
      <w:keepNext/>
      <w:outlineLvl w:val="4"/>
    </w:pPr>
    <w:rPr>
      <w:rFonts w:ascii="Tahoma" w:hAnsi="Tahoma" w:cs="Tahoma"/>
      <w:sz w:val="16"/>
      <w:u w:val="single"/>
      <w:lang w:val="es-ES_tradnl"/>
    </w:rPr>
  </w:style>
  <w:style w:type="paragraph" w:styleId="Ttulo6">
    <w:name w:val="heading 6"/>
    <w:basedOn w:val="Normal"/>
    <w:next w:val="Normal"/>
    <w:qFormat/>
    <w:rsid w:val="00077941"/>
    <w:pPr>
      <w:keepNext/>
      <w:jc w:val="center"/>
      <w:outlineLvl w:val="5"/>
    </w:pPr>
    <w:rPr>
      <w:rFonts w:ascii="Tahoma" w:hAnsi="Tahoma" w:cs="Tahoma"/>
      <w:b/>
      <w:bCs/>
      <w:sz w:val="20"/>
      <w:lang w:val="es-ES_tradnl"/>
    </w:rPr>
  </w:style>
  <w:style w:type="paragraph" w:styleId="Ttulo7">
    <w:name w:val="heading 7"/>
    <w:basedOn w:val="Normal"/>
    <w:next w:val="Normal"/>
    <w:qFormat/>
    <w:rsid w:val="00077941"/>
    <w:pPr>
      <w:keepNext/>
      <w:ind w:left="3905" w:firstLine="349"/>
      <w:outlineLvl w:val="6"/>
    </w:pPr>
    <w:rPr>
      <w:rFonts w:ascii="Tahoma" w:hAnsi="Tahoma" w:cs="Tahoma"/>
      <w:b/>
      <w:bCs/>
      <w:sz w:val="18"/>
      <w:lang w:val="es-ES_tradnl"/>
    </w:rPr>
  </w:style>
  <w:style w:type="paragraph" w:styleId="Ttulo8">
    <w:name w:val="heading 8"/>
    <w:basedOn w:val="Normal"/>
    <w:next w:val="Normal"/>
    <w:qFormat/>
    <w:rsid w:val="00077941"/>
    <w:pPr>
      <w:keepNext/>
      <w:jc w:val="both"/>
      <w:outlineLvl w:val="7"/>
    </w:pPr>
    <w:rPr>
      <w:rFonts w:ascii="Tahoma" w:hAnsi="Tahoma" w:cs="Tahoma"/>
      <w:b/>
      <w:bCs/>
      <w:sz w:val="20"/>
      <w:lang w:val="es-ES_tradnl"/>
    </w:rPr>
  </w:style>
  <w:style w:type="paragraph" w:styleId="Ttulo9">
    <w:name w:val="heading 9"/>
    <w:basedOn w:val="Normal"/>
    <w:next w:val="Normal"/>
    <w:qFormat/>
    <w:rsid w:val="00077941"/>
    <w:pPr>
      <w:keepNext/>
      <w:jc w:val="both"/>
      <w:outlineLvl w:val="8"/>
    </w:pPr>
    <w:rPr>
      <w:rFonts w:ascii="Tahoma" w:hAnsi="Tahoma" w:cs="Tahoma"/>
      <w:b/>
      <w:bCs/>
      <w:sz w:val="22"/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077941"/>
    <w:pPr>
      <w:jc w:val="both"/>
    </w:pPr>
    <w:rPr>
      <w:rFonts w:ascii="Arial" w:hAnsi="Arial"/>
      <w:b/>
      <w:sz w:val="20"/>
      <w:lang w:val="es-ES_tradnl"/>
    </w:rPr>
  </w:style>
  <w:style w:type="paragraph" w:styleId="Textoindependiente2">
    <w:name w:val="Body Text 2"/>
    <w:basedOn w:val="Normal"/>
    <w:rsid w:val="00077941"/>
    <w:pPr>
      <w:jc w:val="both"/>
    </w:pPr>
    <w:rPr>
      <w:rFonts w:ascii="Arial" w:hAnsi="Arial"/>
      <w:sz w:val="20"/>
      <w:lang w:val="es-ES_tradnl"/>
    </w:rPr>
  </w:style>
  <w:style w:type="paragraph" w:styleId="Piedepgina">
    <w:name w:val="footer"/>
    <w:basedOn w:val="Normal"/>
    <w:rsid w:val="00077941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77941"/>
  </w:style>
  <w:style w:type="paragraph" w:styleId="Textoindependiente3">
    <w:name w:val="Body Text 3"/>
    <w:basedOn w:val="Normal"/>
    <w:rsid w:val="00077941"/>
    <w:pPr>
      <w:jc w:val="both"/>
    </w:pPr>
    <w:rPr>
      <w:rFonts w:ascii="Arial" w:hAnsi="Arial"/>
      <w:lang w:val="es-ES_tradnl"/>
    </w:rPr>
  </w:style>
  <w:style w:type="paragraph" w:styleId="Encabezado">
    <w:name w:val="header"/>
    <w:basedOn w:val="Normal"/>
    <w:rsid w:val="00077941"/>
    <w:pPr>
      <w:tabs>
        <w:tab w:val="center" w:pos="4252"/>
        <w:tab w:val="right" w:pos="8504"/>
      </w:tabs>
    </w:pPr>
  </w:style>
  <w:style w:type="paragraph" w:styleId="Listaconvietas">
    <w:name w:val="List Bullet"/>
    <w:basedOn w:val="Normal"/>
    <w:autoRedefine/>
    <w:rsid w:val="00077941"/>
    <w:pPr>
      <w:numPr>
        <w:numId w:val="1"/>
      </w:numPr>
    </w:pPr>
    <w:rPr>
      <w:lang w:val="es-ES_tradnl"/>
    </w:rPr>
  </w:style>
  <w:style w:type="paragraph" w:customStyle="1" w:styleId="SFAnormal-11">
    <w:name w:val="SFAnormal-11"/>
    <w:basedOn w:val="Normal"/>
    <w:rsid w:val="00077941"/>
    <w:rPr>
      <w:rFonts w:ascii="Arial" w:eastAsia="MS Gothic" w:hAnsi="Arial" w:cs="Arial"/>
      <w:sz w:val="22"/>
      <w:szCs w:val="22"/>
      <w:lang w:val="en-GB" w:eastAsia="fr-FR"/>
    </w:rPr>
  </w:style>
  <w:style w:type="paragraph" w:customStyle="1" w:styleId="SFAnormal-11h3rnumbering">
    <w:name w:val="SFAnormal-11h3rnumbering"/>
    <w:basedOn w:val="SFAnormal-11h3"/>
    <w:rsid w:val="00077941"/>
    <w:pPr>
      <w:numPr>
        <w:numId w:val="2"/>
      </w:numPr>
    </w:pPr>
  </w:style>
  <w:style w:type="paragraph" w:customStyle="1" w:styleId="SFAnormal-11h3">
    <w:name w:val="SFAnormal-11h3"/>
    <w:basedOn w:val="SFAnormal-11"/>
    <w:rsid w:val="00077941"/>
    <w:pPr>
      <w:spacing w:before="60"/>
    </w:pPr>
  </w:style>
  <w:style w:type="paragraph" w:customStyle="1" w:styleId="Estndar">
    <w:name w:val="Estándar"/>
    <w:basedOn w:val="Normal"/>
    <w:rsid w:val="00077941"/>
    <w:rPr>
      <w:szCs w:val="24"/>
    </w:rPr>
  </w:style>
  <w:style w:type="paragraph" w:customStyle="1" w:styleId="Topo1">
    <w:name w:val="Topo 1"/>
    <w:basedOn w:val="Normal"/>
    <w:rsid w:val="00077941"/>
    <w:pPr>
      <w:numPr>
        <w:numId w:val="3"/>
      </w:numPr>
      <w:autoSpaceDE w:val="0"/>
      <w:autoSpaceDN w:val="0"/>
      <w:adjustRightInd w:val="0"/>
      <w:jc w:val="both"/>
    </w:pPr>
    <w:rPr>
      <w:rFonts w:ascii="Arial" w:hAnsi="Arial"/>
      <w:szCs w:val="24"/>
      <w:lang w:val="en-US"/>
    </w:rPr>
  </w:style>
  <w:style w:type="paragraph" w:customStyle="1" w:styleId="DWStyle">
    <w:name w:val="DW Style"/>
    <w:basedOn w:val="Normal"/>
    <w:rsid w:val="00077941"/>
    <w:pPr>
      <w:autoSpaceDE w:val="0"/>
      <w:autoSpaceDN w:val="0"/>
      <w:adjustRightInd w:val="0"/>
      <w:spacing w:line="240" w:lineRule="exact"/>
    </w:pPr>
    <w:rPr>
      <w:rFonts w:ascii="Courier" w:hAnsi="Courier"/>
      <w:szCs w:val="24"/>
      <w:lang w:val="en-US"/>
    </w:rPr>
  </w:style>
  <w:style w:type="paragraph" w:styleId="Lista">
    <w:name w:val="List"/>
    <w:basedOn w:val="Normal"/>
    <w:rsid w:val="00077941"/>
    <w:pPr>
      <w:ind w:left="283" w:hanging="283"/>
    </w:pPr>
    <w:rPr>
      <w:szCs w:val="24"/>
    </w:rPr>
  </w:style>
  <w:style w:type="paragraph" w:styleId="Textosinformato">
    <w:name w:val="Plain Text"/>
    <w:basedOn w:val="Normal"/>
    <w:rsid w:val="00077941"/>
    <w:rPr>
      <w:rFonts w:ascii="Courier New" w:hAnsi="Courier New" w:cs="Courier New"/>
      <w:sz w:val="20"/>
    </w:rPr>
  </w:style>
  <w:style w:type="paragraph" w:styleId="Sangra2detindependiente">
    <w:name w:val="Body Text Indent 2"/>
    <w:basedOn w:val="Normal"/>
    <w:rsid w:val="00077941"/>
    <w:pPr>
      <w:tabs>
        <w:tab w:val="left" w:pos="540"/>
      </w:tabs>
      <w:ind w:left="360"/>
      <w:jc w:val="both"/>
    </w:pPr>
    <w:rPr>
      <w:szCs w:val="24"/>
      <w:lang w:val="es-ES_tradnl"/>
    </w:rPr>
  </w:style>
  <w:style w:type="paragraph" w:styleId="Sangra3detindependiente">
    <w:name w:val="Body Text Indent 3"/>
    <w:basedOn w:val="Normal"/>
    <w:rsid w:val="00077941"/>
    <w:pPr>
      <w:tabs>
        <w:tab w:val="left" w:pos="540"/>
      </w:tabs>
      <w:ind w:firstLine="360"/>
    </w:pPr>
    <w:rPr>
      <w:rFonts w:ascii="Tahoma" w:hAnsi="Tahoma" w:cs="Tahoma"/>
      <w:sz w:val="18"/>
      <w:szCs w:val="24"/>
      <w:lang w:val="es-ES_tradnl"/>
    </w:rPr>
  </w:style>
  <w:style w:type="paragraph" w:styleId="Sangradetextonormal">
    <w:name w:val="Body Text Indent"/>
    <w:basedOn w:val="Normal"/>
    <w:rsid w:val="00077941"/>
    <w:pPr>
      <w:ind w:firstLine="426"/>
      <w:jc w:val="both"/>
    </w:pPr>
    <w:rPr>
      <w:rFonts w:ascii="Tahoma" w:hAnsi="Tahoma" w:cs="Tahoma"/>
      <w:sz w:val="22"/>
    </w:rPr>
  </w:style>
  <w:style w:type="paragraph" w:styleId="Textodeglobo">
    <w:name w:val="Balloon Text"/>
    <w:basedOn w:val="Normal"/>
    <w:semiHidden/>
    <w:rsid w:val="00F0468B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semiHidden/>
    <w:rsid w:val="009C2105"/>
    <w:rPr>
      <w:sz w:val="16"/>
      <w:szCs w:val="16"/>
    </w:rPr>
  </w:style>
  <w:style w:type="paragraph" w:styleId="Textocomentario">
    <w:name w:val="annotation text"/>
    <w:basedOn w:val="Normal"/>
    <w:semiHidden/>
    <w:rsid w:val="009C2105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9C2105"/>
    <w:rPr>
      <w:b/>
      <w:bCs/>
    </w:rPr>
  </w:style>
  <w:style w:type="paragraph" w:styleId="Listaconvietas3">
    <w:name w:val="List Bullet 3"/>
    <w:basedOn w:val="Normal"/>
    <w:rsid w:val="00F65631"/>
    <w:pPr>
      <w:numPr>
        <w:numId w:val="4"/>
      </w:numPr>
    </w:pPr>
  </w:style>
  <w:style w:type="paragraph" w:styleId="TDC1">
    <w:name w:val="toc 1"/>
    <w:basedOn w:val="Normal"/>
    <w:next w:val="Normal"/>
    <w:autoRedefine/>
    <w:semiHidden/>
    <w:rsid w:val="00F25DE5"/>
  </w:style>
  <w:style w:type="paragraph" w:styleId="TDC2">
    <w:name w:val="toc 2"/>
    <w:basedOn w:val="Normal"/>
    <w:next w:val="Normal"/>
    <w:autoRedefine/>
    <w:semiHidden/>
    <w:rsid w:val="00F25DE5"/>
    <w:pPr>
      <w:ind w:left="240"/>
    </w:pPr>
  </w:style>
  <w:style w:type="character" w:styleId="Hipervnculo">
    <w:name w:val="Hyperlink"/>
    <w:basedOn w:val="Fuentedeprrafopredeter"/>
    <w:rsid w:val="00F25DE5"/>
    <w:rPr>
      <w:color w:val="0000FF"/>
      <w:u w:val="single"/>
    </w:rPr>
  </w:style>
  <w:style w:type="table" w:styleId="Tablaconcuadrcula">
    <w:name w:val="Table Grid"/>
    <w:basedOn w:val="Tablanormal"/>
    <w:rsid w:val="00E91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becera-Centrodirectivo">
    <w:name w:val="Cabecera - Centro directivo"/>
    <w:rsid w:val="00026CD6"/>
    <w:pPr>
      <w:suppressAutoHyphens/>
      <w:spacing w:before="40" w:line="200" w:lineRule="exact"/>
    </w:pPr>
    <w:rPr>
      <w:rFonts w:ascii="Source Sans Pro" w:eastAsia="Noto Sans HK" w:hAnsi="Source Sans Pro" w:cs="Source Sans Pro"/>
      <w:sz w:val="18"/>
      <w:szCs w:val="18"/>
      <w:lang w:eastAsia="zh-CN"/>
    </w:rPr>
  </w:style>
  <w:style w:type="paragraph" w:customStyle="1" w:styleId="Cabecera-Consejera">
    <w:name w:val="Cabecera - Consejería"/>
    <w:rsid w:val="00026CD6"/>
    <w:pPr>
      <w:suppressAutoHyphens/>
      <w:spacing w:after="120" w:line="200" w:lineRule="exact"/>
    </w:pPr>
    <w:rPr>
      <w:rFonts w:ascii="Source Sans Pro Semibold" w:eastAsia="Noto Sans HK Medium" w:hAnsi="Source Sans Pro Semibold" w:cs="Source Sans Pro Semibold"/>
      <w:sz w:val="18"/>
      <w:szCs w:val="18"/>
      <w:lang w:eastAsia="zh-CN"/>
    </w:rPr>
  </w:style>
  <w:style w:type="character" w:customStyle="1" w:styleId="Ttulo2Car">
    <w:name w:val="Título 2 Car"/>
    <w:basedOn w:val="Fuentedeprrafopredeter"/>
    <w:link w:val="Ttulo2"/>
    <w:rsid w:val="00CD7E3A"/>
    <w:rPr>
      <w:rFonts w:ascii="Tahoma" w:hAnsi="Tahoma" w:cs="Tahoma"/>
      <w:sz w:val="28"/>
      <w:lang w:val="en-GB"/>
    </w:rPr>
  </w:style>
  <w:style w:type="paragraph" w:styleId="NormalWeb">
    <w:name w:val="Normal (Web)"/>
    <w:basedOn w:val="Normal"/>
    <w:uiPriority w:val="99"/>
    <w:semiHidden/>
    <w:unhideWhenUsed/>
    <w:rsid w:val="00CD7E3A"/>
    <w:pPr>
      <w:spacing w:before="100" w:beforeAutospacing="1" w:after="100" w:afterAutospacing="1"/>
    </w:pPr>
    <w:rPr>
      <w:szCs w:val="24"/>
    </w:rPr>
  </w:style>
  <w:style w:type="character" w:customStyle="1" w:styleId="citation-69">
    <w:name w:val="citation-69"/>
    <w:basedOn w:val="Fuentedeprrafopredeter"/>
    <w:rsid w:val="00CD7E3A"/>
  </w:style>
  <w:style w:type="character" w:customStyle="1" w:styleId="citation-68">
    <w:name w:val="citation-68"/>
    <w:basedOn w:val="Fuentedeprrafopredeter"/>
    <w:rsid w:val="00CD7E3A"/>
  </w:style>
  <w:style w:type="character" w:customStyle="1" w:styleId="citation-67">
    <w:name w:val="citation-67"/>
    <w:basedOn w:val="Fuentedeprrafopredeter"/>
    <w:rsid w:val="00CD7E3A"/>
  </w:style>
  <w:style w:type="character" w:customStyle="1" w:styleId="citation-66">
    <w:name w:val="citation-66"/>
    <w:basedOn w:val="Fuentedeprrafopredeter"/>
    <w:rsid w:val="00CD7E3A"/>
  </w:style>
  <w:style w:type="character" w:customStyle="1" w:styleId="citation-65">
    <w:name w:val="citation-65"/>
    <w:basedOn w:val="Fuentedeprrafopredeter"/>
    <w:rsid w:val="00CD7E3A"/>
  </w:style>
  <w:style w:type="character" w:customStyle="1" w:styleId="citation-64">
    <w:name w:val="citation-64"/>
    <w:basedOn w:val="Fuentedeprrafopredeter"/>
    <w:rsid w:val="00CD7E3A"/>
  </w:style>
  <w:style w:type="character" w:customStyle="1" w:styleId="citation-63">
    <w:name w:val="citation-63"/>
    <w:basedOn w:val="Fuentedeprrafopredeter"/>
    <w:rsid w:val="00CD7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464E74737811B46B739AE67DA8D582D" ma:contentTypeVersion="0" ma:contentTypeDescription="Crear nuevo documento." ma:contentTypeScope="" ma:versionID="24c6668a66bb6e0aafdb4f227c3e714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8bad99c2ef954f04e9c9b6a29ddd6c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BC8C38-C724-46D9-80DD-7DB6151D5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17F97A-0246-4B08-B015-FEE08DC04EA5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359348-215C-491D-ABC7-0021E2BF1C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1487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PLIEGO DE PRESCIPCIONES TECNICAS PARTICULARES  PARA LA CONTRTATACION DEL MANTENIMIENTO  Y CONSERVACION DE APARATOS ELEVADORES DEL AREA HOSPITALARIA VIRGEN DEL ROCIO</vt:lpstr>
    </vt:vector>
  </TitlesOfParts>
  <Company>FAMILIAR</Company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PLIEGO DE PRESCIPCIONES TECNICAS PARTICULARES  PARA LA CONTRTATACION DEL MANTENIMIENTO  Y CONSERVACION DE APARATOS ELEVADORES DEL AREA HOSPITALARIA VIRGEN DEL ROCIO</dc:title>
  <dc:creator>PC</dc:creator>
  <cp:lastModifiedBy>Franco Lopez, Ricardo</cp:lastModifiedBy>
  <cp:revision>23</cp:revision>
  <cp:lastPrinted>2012-07-12T08:10:00Z</cp:lastPrinted>
  <dcterms:created xsi:type="dcterms:W3CDTF">2013-07-31T10:26:00Z</dcterms:created>
  <dcterms:modified xsi:type="dcterms:W3CDTF">2026-07-20T10:27:00Z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0x010100B464E74737811B46B739AE67DA8D582D</vt:lpwstr>
  </property>
</Properties>
</file>