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3B602" w14:textId="77777777" w:rsidR="00024D06" w:rsidRDefault="00024D06"/>
    <w:p w14:paraId="33EA125D" w14:textId="77777777" w:rsidR="00024D06" w:rsidRDefault="00024D06">
      <w:pPr>
        <w:textAlignment w:val="auto"/>
        <w:rPr>
          <w:rFonts w:ascii="NewsGotT" w:eastAsia="Times New Roman" w:hAnsi="NewsGotT" w:cs="Arial"/>
          <w:sz w:val="24"/>
          <w:szCs w:val="24"/>
          <w:lang w:eastAsia="es-ES"/>
        </w:rPr>
      </w:pPr>
    </w:p>
    <w:p w14:paraId="35CF56FF" w14:textId="77777777" w:rsidR="00024D06" w:rsidRDefault="00024D06">
      <w:pPr>
        <w:textAlignment w:val="auto"/>
        <w:rPr>
          <w:rFonts w:ascii="NewsGotT" w:eastAsia="Times New Roman" w:hAnsi="NewsGotT" w:cs="Arial"/>
          <w:sz w:val="24"/>
          <w:szCs w:val="24"/>
          <w:lang w:eastAsia="es-ES"/>
        </w:rPr>
      </w:pPr>
    </w:p>
    <w:p w14:paraId="6E494CFA" w14:textId="77777777" w:rsidR="00024D06" w:rsidRDefault="00445569">
      <w:pPr>
        <w:jc w:val="center"/>
        <w:textAlignment w:val="auto"/>
        <w:rPr>
          <w:rFonts w:ascii="Source Code Pro Light" w:hAnsi="Source Code Pro Light"/>
        </w:rPr>
      </w:pPr>
      <w:r>
        <w:rPr>
          <w:rFonts w:ascii="Source Code Pro Light" w:eastAsia="Times New Roman" w:hAnsi="Source Code Pro Light" w:cs="Arial"/>
          <w:b/>
          <w:sz w:val="28"/>
          <w:szCs w:val="24"/>
          <w:lang w:eastAsia="es-ES"/>
        </w:rPr>
        <w:t>DECLARACIÓN RESPONSABLE SOBRE EL CUMPLIMIENTO DE CONDICIONES ESPECÍFICAS EN RELACIÓN CON EL PRINCIPIO DE</w:t>
      </w:r>
    </w:p>
    <w:p w14:paraId="0D1AF295" w14:textId="77777777" w:rsidR="00024D06" w:rsidRDefault="00445569">
      <w:pPr>
        <w:jc w:val="center"/>
        <w:textAlignment w:val="auto"/>
        <w:rPr>
          <w:rFonts w:ascii="Source Code Pro Light" w:hAnsi="Source Code Pro Light"/>
        </w:rPr>
      </w:pPr>
      <w:r>
        <w:rPr>
          <w:rFonts w:ascii="Source Code Pro Light" w:eastAsia="Times New Roman" w:hAnsi="Source Code Pro Light" w:cs="Arial"/>
          <w:b/>
          <w:sz w:val="28"/>
          <w:szCs w:val="24"/>
          <w:lang w:eastAsia="es-ES"/>
        </w:rPr>
        <w:t>NO CAUSAR DAÑO SIGNIFICATIVO (DNSH)</w:t>
      </w:r>
    </w:p>
    <w:p w14:paraId="5DD8F6FF" w14:textId="77777777" w:rsidR="00024D06" w:rsidRDefault="00024D06">
      <w:pPr>
        <w:jc w:val="both"/>
        <w:textAlignment w:val="auto"/>
        <w:rPr>
          <w:rFonts w:ascii="NewsGotT" w:eastAsia="Times New Roman" w:hAnsi="NewsGotT" w:cs="Arial"/>
          <w:sz w:val="24"/>
          <w:szCs w:val="24"/>
          <w:lang w:eastAsia="es-ES"/>
        </w:rPr>
      </w:pPr>
    </w:p>
    <w:p w14:paraId="67888FAB" w14:textId="77777777" w:rsidR="00024D06" w:rsidRDefault="00024D06">
      <w:pPr>
        <w:jc w:val="both"/>
        <w:textAlignment w:val="auto"/>
        <w:rPr>
          <w:rFonts w:ascii="NewsGotT" w:eastAsia="Times New Roman" w:hAnsi="NewsGotT" w:cs="Arial"/>
          <w:sz w:val="24"/>
          <w:szCs w:val="24"/>
          <w:lang w:eastAsia="es-ES"/>
        </w:rPr>
      </w:pPr>
    </w:p>
    <w:p w14:paraId="7CFC76B3" w14:textId="77777777" w:rsidR="00024D06" w:rsidRDefault="00445569">
      <w:pPr>
        <w:spacing w:beforeAutospacing="1" w:afterAutospacing="1"/>
        <w:jc w:val="both"/>
        <w:textAlignment w:val="auto"/>
        <w:rPr>
          <w:rFonts w:ascii="Source Sans Pro" w:eastAsia="Times New Roman" w:hAnsi="Source Sans Pro"/>
          <w:sz w:val="21"/>
          <w:szCs w:val="21"/>
          <w:lang w:eastAsia="es-ES"/>
        </w:rPr>
      </w:pPr>
      <w:r>
        <w:rPr>
          <w:rFonts w:ascii="Source Sans Pro" w:eastAsia="Times New Roman" w:hAnsi="Source Sans Pro"/>
          <w:sz w:val="21"/>
          <w:szCs w:val="21"/>
          <w:lang w:eastAsia="es-ES"/>
        </w:rPr>
        <w:t xml:space="preserve">Don/Doña ………………………………………………., con DNI …………………….., como representante de la entidad ……………………………………………………………., con NIF……………………………………., y domicilio fiscal en ………………………………………………………………………………………., entidad beneficiaria de una subvención concedida conforme a la </w:t>
      </w:r>
      <w:r>
        <w:rPr>
          <w:rFonts w:ascii="Source Sans Pro" w:eastAsia="Times New Roman" w:hAnsi="Source Sans Pro" w:cs="Source Sans Pro"/>
          <w:sz w:val="21"/>
          <w:szCs w:val="21"/>
          <w:lang w:eastAsia="es-ES"/>
        </w:rPr>
        <w:t xml:space="preserve">a Orden de 8 de noviembre de 2022, por la que se aprueban las bases reguladoras para la concesión de subvenciones, en régimen de concurrencia no competitiva, destinadas a la instalación de una red de comunicaciones electrónicas de alta velocidad en dependencias de zonas industriales, en el marco del Plan de Recuperación, Transformación y Resiliencia (financiado por la Unión Europea-Next </w:t>
      </w:r>
      <w:proofErr w:type="spellStart"/>
      <w:r>
        <w:rPr>
          <w:rFonts w:ascii="Source Sans Pro" w:eastAsia="Times New Roman" w:hAnsi="Source Sans Pro" w:cs="Source Sans Pro"/>
          <w:sz w:val="21"/>
          <w:szCs w:val="21"/>
          <w:lang w:eastAsia="es-ES"/>
        </w:rPr>
        <w:t>Generation</w:t>
      </w:r>
      <w:proofErr w:type="spellEnd"/>
      <w:r>
        <w:rPr>
          <w:rFonts w:ascii="Source Sans Pro" w:eastAsia="Times New Roman" w:hAnsi="Source Sans Pro" w:cs="Source Sans Pro"/>
          <w:sz w:val="21"/>
          <w:szCs w:val="21"/>
          <w:lang w:eastAsia="es-ES"/>
        </w:rPr>
        <w:t xml:space="preserve"> EU),  así como por la Orden de 2 de diciembre de 2024, por la que se modifica la orden anteriormente mencionada</w:t>
      </w:r>
      <w:r>
        <w:rPr>
          <w:rFonts w:ascii="Source Sans Pro" w:eastAsia="Times New Roman" w:hAnsi="Source Sans Pro" w:cs="Source Sans Pro"/>
          <w:sz w:val="21"/>
          <w:szCs w:val="21"/>
          <w:lang w:eastAsia="es-ES"/>
        </w:rPr>
        <w:t>,</w:t>
      </w:r>
    </w:p>
    <w:p w14:paraId="7C629A39" w14:textId="77777777" w:rsidR="00024D06" w:rsidRDefault="00445569">
      <w:pPr>
        <w:spacing w:beforeAutospacing="1" w:afterAutospacing="1"/>
        <w:jc w:val="center"/>
        <w:textAlignment w:val="auto"/>
        <w:rPr>
          <w:rFonts w:ascii="Source Sans Pro" w:eastAsia="Times New Roman" w:hAnsi="Source Sans Pro"/>
          <w:b/>
          <w:bCs/>
          <w:sz w:val="21"/>
          <w:szCs w:val="21"/>
          <w:lang w:eastAsia="es-ES"/>
        </w:rPr>
      </w:pPr>
      <w:r>
        <w:rPr>
          <w:rFonts w:ascii="Source Sans Pro" w:eastAsia="Times New Roman" w:hAnsi="Source Sans Pro"/>
          <w:b/>
          <w:bCs/>
          <w:sz w:val="21"/>
          <w:szCs w:val="21"/>
          <w:lang w:eastAsia="es-ES"/>
        </w:rPr>
        <w:t>DECLARO RESPONSABLEMENTE</w:t>
      </w:r>
    </w:p>
    <w:p w14:paraId="6DC37DCE" w14:textId="1EB1BF55" w:rsidR="00024D06" w:rsidRDefault="00445569">
      <w:pPr>
        <w:pStyle w:val="LO-Normal1"/>
        <w:spacing w:line="240" w:lineRule="auto"/>
        <w:rPr>
          <w:rFonts w:eastAsia="Times New Roman"/>
          <w:color w:val="auto"/>
          <w:szCs w:val="21"/>
          <w:lang w:eastAsia="es-ES"/>
        </w:rPr>
      </w:pPr>
      <w:r>
        <w:rPr>
          <w:rFonts w:eastAsia="Times New Roman"/>
          <w:color w:val="auto"/>
          <w:szCs w:val="21"/>
          <w:lang w:eastAsia="es-ES"/>
        </w:rPr>
        <w:t xml:space="preserve">Que la </w:t>
      </w:r>
      <w:r>
        <w:rPr>
          <w:rFonts w:eastAsia="Times New Roman"/>
          <w:szCs w:val="21"/>
          <w:lang w:eastAsia="es-ES"/>
        </w:rPr>
        <w:t>entidad beneficiaria de la subvención</w:t>
      </w:r>
      <w:r w:rsidR="00497F19">
        <w:rPr>
          <w:rFonts w:eastAsia="Times New Roman"/>
          <w:szCs w:val="21"/>
          <w:lang w:eastAsia="es-ES"/>
        </w:rPr>
        <w:t xml:space="preserve"> con número de expediente XXXXXXX</w:t>
      </w:r>
      <w:r>
        <w:rPr>
          <w:rFonts w:eastAsia="Times New Roman"/>
          <w:color w:val="auto"/>
          <w:szCs w:val="21"/>
          <w:lang w:eastAsia="es-ES"/>
        </w:rPr>
        <w:t xml:space="preserve"> ha previsto los mecanismos que aseguren el cumplimiento en todas las fases del diseño y ejecución del proyecto de las condiciones específicas que se enumeran a continuación asociadas a cada uno de los objetivos medioambientales recogidos en el artículo 17 del Reglamento 2020/852 del Parlamento Europeo y del Consejo de 18 de junio de 2020 relativo al establecimiento de un marco para facilitar las inversiones sostenibles y por el que se modifica el Reglamento (UE) 2019/2088:</w:t>
      </w:r>
    </w:p>
    <w:p w14:paraId="7FBE46D6" w14:textId="77777777" w:rsidR="00024D06" w:rsidRDefault="00024D06">
      <w:pPr>
        <w:pStyle w:val="LO-Normal1"/>
        <w:spacing w:line="240" w:lineRule="auto"/>
        <w:rPr>
          <w:rFonts w:eastAsia="Times New Roman"/>
          <w:color w:val="auto"/>
          <w:szCs w:val="21"/>
          <w:lang w:eastAsia="es-ES"/>
        </w:rPr>
      </w:pPr>
    </w:p>
    <w:p w14:paraId="41B07B73" w14:textId="77777777" w:rsidR="00024D06" w:rsidRDefault="00445569">
      <w:pPr>
        <w:pStyle w:val="LO-Normal1"/>
        <w:numPr>
          <w:ilvl w:val="0"/>
          <w:numId w:val="4"/>
        </w:numPr>
        <w:spacing w:line="240" w:lineRule="auto"/>
        <w:rPr>
          <w:rFonts w:eastAsia="Times New Roman"/>
          <w:color w:val="auto"/>
          <w:szCs w:val="21"/>
          <w:lang w:eastAsia="es-ES"/>
        </w:rPr>
      </w:pPr>
      <w:r>
        <w:rPr>
          <w:rFonts w:eastAsia="Times New Roman"/>
          <w:color w:val="auto"/>
          <w:szCs w:val="21"/>
          <w:lang w:eastAsia="es-ES"/>
        </w:rPr>
        <w:t xml:space="preserve">Mitigación del cambio climático. </w:t>
      </w:r>
    </w:p>
    <w:p w14:paraId="2A7CC06C" w14:textId="77777777" w:rsidR="00024D06" w:rsidRDefault="00445569">
      <w:pPr>
        <w:pStyle w:val="LO-Normal1"/>
        <w:numPr>
          <w:ilvl w:val="1"/>
          <w:numId w:val="4"/>
        </w:numPr>
        <w:spacing w:line="240" w:lineRule="auto"/>
        <w:rPr>
          <w:rFonts w:eastAsia="Times New Roman"/>
          <w:color w:val="auto"/>
          <w:szCs w:val="21"/>
          <w:lang w:eastAsia="es-ES"/>
        </w:rPr>
      </w:pPr>
      <w:r>
        <w:rPr>
          <w:rFonts w:eastAsia="Times New Roman"/>
          <w:color w:val="auto"/>
          <w:szCs w:val="21"/>
          <w:lang w:eastAsia="es-ES"/>
        </w:rPr>
        <w:t>Los fabricantes de los equipos y componentes utilizados, el operador de la red y/o el proveedor de los servicios de red se han adherido al Código de conducta europeo sobre consumo energético de equipos de band</w:t>
      </w:r>
      <w:r>
        <w:rPr>
          <w:rFonts w:eastAsia="Times New Roman"/>
          <w:color w:val="000000"/>
          <w:szCs w:val="21"/>
          <w:lang w:eastAsia="es-ES"/>
        </w:rPr>
        <w:t>a ancha</w:t>
      </w:r>
      <w:r>
        <w:rPr>
          <w:rStyle w:val="Ancladenotaalpie"/>
          <w:rFonts w:eastAsia="Times New Roman"/>
          <w:color w:val="000000"/>
          <w:szCs w:val="21"/>
          <w:lang w:eastAsia="es-ES"/>
        </w:rPr>
        <w:footnoteReference w:id="1"/>
      </w:r>
      <w:r>
        <w:rPr>
          <w:rFonts w:eastAsia="Times New Roman"/>
          <w:color w:val="000000"/>
          <w:szCs w:val="21"/>
          <w:lang w:eastAsia="es-ES"/>
        </w:rPr>
        <w:t>.</w:t>
      </w:r>
    </w:p>
    <w:p w14:paraId="0EEEBA51" w14:textId="4679EFB6" w:rsidR="00024D06" w:rsidRDefault="00445569">
      <w:pPr>
        <w:pStyle w:val="LO-Normal1"/>
        <w:numPr>
          <w:ilvl w:val="1"/>
          <w:numId w:val="4"/>
        </w:numPr>
        <w:spacing w:after="240" w:line="240" w:lineRule="auto"/>
        <w:ind w:left="1434" w:hanging="357"/>
        <w:rPr>
          <w:rFonts w:eastAsia="Times New Roman"/>
          <w:color w:val="auto"/>
          <w:szCs w:val="21"/>
          <w:lang w:eastAsia="es-ES"/>
        </w:rPr>
      </w:pPr>
      <w:r>
        <w:rPr>
          <w:rFonts w:eastAsia="Times New Roman"/>
          <w:color w:val="000000"/>
          <w:szCs w:val="21"/>
          <w:lang w:eastAsia="es-ES"/>
        </w:rPr>
        <w:t>O e</w:t>
      </w:r>
      <w:r w:rsidR="00497F19">
        <w:rPr>
          <w:rFonts w:eastAsia="Times New Roman"/>
          <w:color w:val="000000"/>
          <w:szCs w:val="21"/>
          <w:lang w:eastAsia="es-ES"/>
        </w:rPr>
        <w:t>l</w:t>
      </w:r>
      <w:r>
        <w:rPr>
          <w:rFonts w:eastAsia="Times New Roman"/>
          <w:color w:val="000000"/>
          <w:szCs w:val="21"/>
          <w:lang w:eastAsia="es-ES"/>
        </w:rPr>
        <w:t xml:space="preserve"> be</w:t>
      </w:r>
      <w:r>
        <w:rPr>
          <w:rFonts w:eastAsia="Times New Roman"/>
          <w:color w:val="auto"/>
          <w:szCs w:val="21"/>
          <w:lang w:eastAsia="es-ES"/>
        </w:rPr>
        <w:t>neficiario ha realizado los mayores esfuerzos para implementar prácticas relevantes sobre eficiencia energética en los equipos e instalaciones.</w:t>
      </w:r>
    </w:p>
    <w:p w14:paraId="776E690C" w14:textId="77777777" w:rsidR="00024D06" w:rsidRDefault="00445569">
      <w:pPr>
        <w:pStyle w:val="LO-Normal1"/>
        <w:numPr>
          <w:ilvl w:val="0"/>
          <w:numId w:val="4"/>
        </w:numPr>
        <w:spacing w:line="240" w:lineRule="auto"/>
        <w:rPr>
          <w:rFonts w:eastAsia="Times New Roman"/>
          <w:color w:val="auto"/>
          <w:szCs w:val="21"/>
          <w:lang w:eastAsia="es-ES"/>
        </w:rPr>
      </w:pPr>
      <w:r>
        <w:rPr>
          <w:rFonts w:eastAsia="Times New Roman"/>
          <w:color w:val="auto"/>
          <w:szCs w:val="21"/>
          <w:lang w:eastAsia="es-ES"/>
        </w:rPr>
        <w:t xml:space="preserve">Adaptación al cambio climático. </w:t>
      </w:r>
    </w:p>
    <w:p w14:paraId="61C0F754" w14:textId="172D0E18" w:rsidR="00024D06" w:rsidRDefault="00445569">
      <w:pPr>
        <w:pStyle w:val="LO-Normal1"/>
        <w:numPr>
          <w:ilvl w:val="1"/>
          <w:numId w:val="4"/>
        </w:numPr>
        <w:spacing w:line="240" w:lineRule="auto"/>
        <w:rPr>
          <w:rFonts w:eastAsia="Times New Roman"/>
          <w:color w:val="auto"/>
          <w:szCs w:val="21"/>
          <w:lang w:eastAsia="es-ES"/>
        </w:rPr>
      </w:pPr>
      <w:r>
        <w:rPr>
          <w:rFonts w:eastAsia="Times New Roman"/>
          <w:color w:val="auto"/>
          <w:szCs w:val="21"/>
          <w:lang w:eastAsia="es-ES"/>
        </w:rPr>
        <w:t xml:space="preserve">En el momento del diseño y la </w:t>
      </w:r>
      <w:r>
        <w:rPr>
          <w:rFonts w:eastAsia="Times New Roman"/>
          <w:color w:val="auto"/>
          <w:szCs w:val="21"/>
          <w:lang w:eastAsia="es-ES"/>
        </w:rPr>
        <w:t xml:space="preserve">construcción de las instalaciones de </w:t>
      </w:r>
      <w:r>
        <w:rPr>
          <w:rFonts w:eastAsia="Times New Roman"/>
          <w:color w:val="auto"/>
          <w:szCs w:val="21"/>
          <w:lang w:eastAsia="es-ES"/>
        </w:rPr>
        <w:t>infraestructuras de despliegue de banda ancha ultrarrápida</w:t>
      </w:r>
      <w:r>
        <w:rPr>
          <w:rFonts w:eastAsia="Times New Roman"/>
          <w:color w:val="auto"/>
          <w:szCs w:val="21"/>
          <w:lang w:eastAsia="es-ES"/>
        </w:rPr>
        <w:t>, el beneficiario ha incorporado las soluciones de adaptación que reduzcan el riesgo climático de ola de calor y las ha aplicado antes del inicio de las operaciones.</w:t>
      </w:r>
    </w:p>
    <w:p w14:paraId="42DD4907" w14:textId="77777777" w:rsidR="00024D06" w:rsidRDefault="00024D06">
      <w:pPr>
        <w:textAlignment w:val="auto"/>
        <w:rPr>
          <w:rFonts w:ascii="Source Sans Pro" w:eastAsia="Times New Roman" w:hAnsi="Source Sans Pro"/>
          <w:sz w:val="21"/>
          <w:szCs w:val="21"/>
          <w:lang w:eastAsia="es-ES"/>
        </w:rPr>
      </w:pPr>
    </w:p>
    <w:p w14:paraId="3E476085" w14:textId="77777777" w:rsidR="00024D06" w:rsidRDefault="00445569">
      <w:pPr>
        <w:pStyle w:val="LO-Normal1"/>
        <w:numPr>
          <w:ilvl w:val="0"/>
          <w:numId w:val="4"/>
        </w:numPr>
        <w:spacing w:line="240" w:lineRule="auto"/>
        <w:rPr>
          <w:rFonts w:eastAsia="Times New Roman"/>
          <w:color w:val="auto"/>
          <w:szCs w:val="21"/>
          <w:lang w:eastAsia="es-ES"/>
        </w:rPr>
      </w:pPr>
      <w:r>
        <w:rPr>
          <w:rFonts w:eastAsia="Times New Roman"/>
          <w:color w:val="auto"/>
          <w:szCs w:val="21"/>
          <w:lang w:eastAsia="es-ES"/>
        </w:rPr>
        <w:t>El uso sostenible y la protección de los recursos hídricos y marinos.</w:t>
      </w:r>
    </w:p>
    <w:p w14:paraId="534E9306" w14:textId="77777777" w:rsidR="00024D06" w:rsidRDefault="00445569">
      <w:pPr>
        <w:pStyle w:val="LO-Normal1"/>
        <w:numPr>
          <w:ilvl w:val="1"/>
          <w:numId w:val="4"/>
        </w:numPr>
        <w:spacing w:after="240" w:line="240" w:lineRule="auto"/>
        <w:ind w:left="1434" w:hanging="357"/>
        <w:rPr>
          <w:rFonts w:eastAsia="Times New Roman"/>
          <w:color w:val="auto"/>
          <w:szCs w:val="21"/>
          <w:lang w:eastAsia="es-ES"/>
        </w:rPr>
      </w:pPr>
      <w:r>
        <w:rPr>
          <w:rFonts w:eastAsia="Times New Roman"/>
          <w:color w:val="auto"/>
          <w:szCs w:val="21"/>
          <w:lang w:eastAsia="es-ES"/>
        </w:rPr>
        <w:lastRenderedPageBreak/>
        <w:t>En el proyecto no se han incluido actuaciones de infraestructuras que puedan alterar la hidrología.</w:t>
      </w:r>
    </w:p>
    <w:p w14:paraId="086B3CAD" w14:textId="77777777" w:rsidR="00024D06" w:rsidRDefault="00445569">
      <w:pPr>
        <w:pStyle w:val="LO-Normal1"/>
        <w:numPr>
          <w:ilvl w:val="0"/>
          <w:numId w:val="4"/>
        </w:numPr>
        <w:spacing w:line="240" w:lineRule="auto"/>
        <w:rPr>
          <w:rFonts w:eastAsia="Times New Roman"/>
          <w:color w:val="auto"/>
          <w:szCs w:val="21"/>
          <w:lang w:eastAsia="es-ES"/>
        </w:rPr>
      </w:pPr>
      <w:r>
        <w:rPr>
          <w:rFonts w:eastAsia="Times New Roman"/>
          <w:color w:val="auto"/>
          <w:szCs w:val="21"/>
          <w:lang w:eastAsia="es-ES"/>
        </w:rPr>
        <w:t xml:space="preserve">Transición a una economía circular, incluidos la prevención y el reciclaje de residuos. </w:t>
      </w:r>
    </w:p>
    <w:p w14:paraId="1503771E" w14:textId="77777777" w:rsidR="00024D06" w:rsidRDefault="00445569">
      <w:pPr>
        <w:pStyle w:val="LO-Normal1"/>
        <w:numPr>
          <w:ilvl w:val="1"/>
          <w:numId w:val="4"/>
        </w:numPr>
        <w:spacing w:line="240" w:lineRule="auto"/>
        <w:rPr>
          <w:rFonts w:eastAsia="Times New Roman"/>
          <w:color w:val="auto"/>
          <w:szCs w:val="21"/>
          <w:lang w:eastAsia="es-ES"/>
        </w:rPr>
      </w:pPr>
      <w:r>
        <w:rPr>
          <w:rFonts w:eastAsia="Times New Roman"/>
          <w:color w:val="auto"/>
          <w:szCs w:val="21"/>
          <w:lang w:eastAsia="es-ES"/>
        </w:rPr>
        <w:t>Los equipos no contienen las sustancias restringidas enumeradas en el anexo II de la Directiva 2011/65 / UE, excepto cuando los valores de concentración en peso en materiales homogéneos no superen los enumerados en dicho anexo.</w:t>
      </w:r>
    </w:p>
    <w:p w14:paraId="40FD6B34" w14:textId="77777777" w:rsidR="00024D06" w:rsidRDefault="00445569">
      <w:pPr>
        <w:pStyle w:val="LO-Normal1"/>
        <w:numPr>
          <w:ilvl w:val="1"/>
          <w:numId w:val="4"/>
        </w:numPr>
        <w:spacing w:line="240" w:lineRule="auto"/>
        <w:rPr>
          <w:rFonts w:eastAsia="Times New Roman"/>
          <w:color w:val="auto"/>
          <w:szCs w:val="21"/>
          <w:lang w:eastAsia="es-ES"/>
        </w:rPr>
      </w:pPr>
      <w:r>
        <w:rPr>
          <w:rFonts w:eastAsia="Times New Roman"/>
          <w:color w:val="auto"/>
          <w:szCs w:val="21"/>
          <w:lang w:eastAsia="es-ES"/>
        </w:rPr>
        <w:t>Al final de su vida útil, el equipo se ha sometido a una preparación para operaciones de reutilización, recuperación o reciclaje, o un tratamiento adecuado, incluida la eliminación de todos los fluidos y un tratamiento selectivo de acuerdo con el Anexo VII de la Directiva 2012/19 / UE.</w:t>
      </w:r>
    </w:p>
    <w:p w14:paraId="5506714C" w14:textId="77777777" w:rsidR="00024D06" w:rsidRDefault="00445569">
      <w:pPr>
        <w:pStyle w:val="LO-Normal1"/>
        <w:numPr>
          <w:ilvl w:val="1"/>
          <w:numId w:val="4"/>
        </w:numPr>
        <w:spacing w:after="240" w:line="240" w:lineRule="auto"/>
        <w:ind w:left="1434" w:hanging="357"/>
        <w:rPr>
          <w:rFonts w:eastAsia="Times New Roman"/>
          <w:color w:val="auto"/>
          <w:szCs w:val="21"/>
          <w:lang w:eastAsia="es-ES"/>
        </w:rPr>
      </w:pPr>
      <w:r>
        <w:rPr>
          <w:rFonts w:eastAsia="Times New Roman"/>
          <w:color w:val="auto"/>
          <w:szCs w:val="21"/>
          <w:lang w:eastAsia="es-ES"/>
        </w:rPr>
        <w:t>Existe un plan de gestión de residuos que ha garantizado el máximo reciclaje, al final de su vida útil, de los equipos eléctricos y electrónicos.</w:t>
      </w:r>
    </w:p>
    <w:p w14:paraId="73354E6B" w14:textId="77777777" w:rsidR="00024D06" w:rsidRDefault="00445569">
      <w:pPr>
        <w:pStyle w:val="LO-Normal1"/>
        <w:numPr>
          <w:ilvl w:val="0"/>
          <w:numId w:val="4"/>
        </w:numPr>
        <w:spacing w:line="240" w:lineRule="auto"/>
        <w:rPr>
          <w:rFonts w:eastAsia="Times New Roman"/>
          <w:color w:val="auto"/>
          <w:szCs w:val="21"/>
          <w:lang w:eastAsia="es-ES"/>
        </w:rPr>
      </w:pPr>
      <w:r>
        <w:rPr>
          <w:rFonts w:eastAsia="Times New Roman"/>
          <w:color w:val="auto"/>
          <w:szCs w:val="21"/>
          <w:lang w:eastAsia="es-ES"/>
        </w:rPr>
        <w:t xml:space="preserve">Prevención y el control de la contaminación. </w:t>
      </w:r>
    </w:p>
    <w:p w14:paraId="5F0E4898" w14:textId="77777777" w:rsidR="00024D06" w:rsidRDefault="00445569">
      <w:pPr>
        <w:pStyle w:val="LO-Normal1"/>
        <w:numPr>
          <w:ilvl w:val="1"/>
          <w:numId w:val="4"/>
        </w:numPr>
        <w:spacing w:after="120" w:line="240" w:lineRule="auto"/>
        <w:ind w:left="1434" w:hanging="357"/>
        <w:rPr>
          <w:rFonts w:eastAsia="Times New Roman"/>
          <w:color w:val="auto"/>
          <w:szCs w:val="21"/>
          <w:lang w:eastAsia="es-ES"/>
        </w:rPr>
      </w:pPr>
      <w:r>
        <w:rPr>
          <w:rFonts w:eastAsia="Times New Roman"/>
          <w:color w:val="auto"/>
          <w:szCs w:val="21"/>
          <w:lang w:eastAsia="es-ES"/>
        </w:rPr>
        <w:t>Se han adoptado medidas para reducir el ruido, el polvo y las emisiones contaminantes durante la fase de obra y se han ejecutado las actuaciones asociadas a esta medida siempre cumpliendo la normativa de aplicación vigente en cuanto a la posible contaminación de suelos y agua.</w:t>
      </w:r>
    </w:p>
    <w:p w14:paraId="4203D472" w14:textId="77777777" w:rsidR="00024D06" w:rsidRDefault="00445569">
      <w:pPr>
        <w:pStyle w:val="LO-Normal1"/>
        <w:numPr>
          <w:ilvl w:val="0"/>
          <w:numId w:val="4"/>
        </w:numPr>
        <w:spacing w:line="240" w:lineRule="auto"/>
        <w:rPr>
          <w:rFonts w:eastAsia="Times New Roman"/>
          <w:color w:val="auto"/>
          <w:szCs w:val="21"/>
          <w:lang w:eastAsia="es-ES"/>
        </w:rPr>
      </w:pPr>
      <w:r>
        <w:rPr>
          <w:rFonts w:eastAsia="Times New Roman"/>
          <w:color w:val="auto"/>
          <w:szCs w:val="21"/>
          <w:lang w:eastAsia="es-ES"/>
        </w:rPr>
        <w:t xml:space="preserve">Protección y restauración de la biodiversidad y los ecosistemas. </w:t>
      </w:r>
    </w:p>
    <w:p w14:paraId="27FA0277" w14:textId="77777777" w:rsidR="00024D06" w:rsidRDefault="00445569">
      <w:pPr>
        <w:pStyle w:val="LO-Normal1"/>
        <w:numPr>
          <w:ilvl w:val="1"/>
          <w:numId w:val="4"/>
        </w:numPr>
        <w:spacing w:line="240" w:lineRule="auto"/>
        <w:rPr>
          <w:rFonts w:eastAsia="Times New Roman"/>
          <w:color w:val="auto"/>
          <w:szCs w:val="21"/>
          <w:lang w:eastAsia="es-ES"/>
        </w:rPr>
      </w:pPr>
      <w:r>
        <w:rPr>
          <w:rFonts w:eastAsia="Times New Roman"/>
          <w:color w:val="auto"/>
          <w:szCs w:val="21"/>
          <w:lang w:eastAsia="es-ES"/>
        </w:rPr>
        <w:t>Se ha asegurado que las instalaciones de infraestructuras IT no afecten negativamente a las buenas condiciones y la resiliencia de los ecosistemas, tampoco al estado de conservación de los hábitats y las especies, en particular los espacios de interés de la Unión incluida la Red Natura 2000 de áreas protegidas, sitios del Patrimonio Mundial de la Unesco y otras áreas protegidas. Por ello, cuando sea preceptivo, se ha realizado la Evaluación de Impacto medioambiental, de acuerdo con lo establecido en la Dire</w:t>
      </w:r>
      <w:r>
        <w:rPr>
          <w:rFonts w:eastAsia="Times New Roman"/>
          <w:color w:val="auto"/>
          <w:szCs w:val="21"/>
          <w:lang w:eastAsia="es-ES"/>
        </w:rPr>
        <w:t>ctiva 2011/92/EU.</w:t>
      </w:r>
    </w:p>
    <w:p w14:paraId="3D3D5C08" w14:textId="77777777" w:rsidR="00024D06" w:rsidRDefault="00024D06">
      <w:pPr>
        <w:pStyle w:val="LO-Normal1"/>
        <w:spacing w:line="240" w:lineRule="auto"/>
        <w:rPr>
          <w:rFonts w:eastAsia="Times New Roman"/>
          <w:color w:val="auto"/>
          <w:szCs w:val="21"/>
          <w:lang w:eastAsia="es-ES"/>
        </w:rPr>
      </w:pPr>
    </w:p>
    <w:p w14:paraId="76007FB6" w14:textId="77777777" w:rsidR="00024D06" w:rsidRDefault="00445569">
      <w:pPr>
        <w:pStyle w:val="centroredonda"/>
        <w:spacing w:before="280" w:after="280"/>
        <w:jc w:val="center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……………………………..., XX de …………… de 2025</w:t>
      </w:r>
    </w:p>
    <w:p w14:paraId="0C305D09" w14:textId="77777777" w:rsidR="00024D06" w:rsidRDefault="00445569">
      <w:pPr>
        <w:pStyle w:val="centroredonda"/>
        <w:spacing w:before="280" w:after="280"/>
        <w:jc w:val="center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Fdo. …………………………………………….</w:t>
      </w:r>
    </w:p>
    <w:p w14:paraId="366DD5BF" w14:textId="77777777" w:rsidR="00024D06" w:rsidRDefault="00445569">
      <w:pPr>
        <w:pStyle w:val="centroredonda"/>
        <w:spacing w:before="280" w:after="280"/>
        <w:jc w:val="center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Cargo: …………………………………………</w:t>
      </w:r>
    </w:p>
    <w:p w14:paraId="2EADD20F" w14:textId="77777777" w:rsidR="00024D06" w:rsidRDefault="00024D06">
      <w:pPr>
        <w:pStyle w:val="LO-Normal1"/>
        <w:spacing w:line="240" w:lineRule="auto"/>
        <w:rPr>
          <w:rFonts w:eastAsia="Times New Roman"/>
          <w:color w:val="auto"/>
          <w:szCs w:val="21"/>
          <w:lang w:eastAsia="es-ES"/>
        </w:rPr>
      </w:pPr>
    </w:p>
    <w:p w14:paraId="5D6062D6" w14:textId="77777777" w:rsidR="00024D06" w:rsidRDefault="00024D06">
      <w:pPr>
        <w:pStyle w:val="LO-Normal1"/>
      </w:pPr>
    </w:p>
    <w:p w14:paraId="55BCA054" w14:textId="77777777" w:rsidR="00024D06" w:rsidRDefault="00024D06"/>
    <w:p w14:paraId="405FA8A2" w14:textId="77777777" w:rsidR="00024D06" w:rsidRDefault="00024D06"/>
    <w:p w14:paraId="30D51AD5" w14:textId="77777777" w:rsidR="00024D06" w:rsidRDefault="00024D06"/>
    <w:p w14:paraId="7A7317E5" w14:textId="77777777" w:rsidR="00024D06" w:rsidRDefault="00024D06"/>
    <w:p w14:paraId="2C68A713" w14:textId="77777777" w:rsidR="00024D06" w:rsidRDefault="00024D06"/>
    <w:p w14:paraId="45DE598C" w14:textId="77777777" w:rsidR="00024D06" w:rsidRDefault="00024D06"/>
    <w:p w14:paraId="7E1E1AEF" w14:textId="77777777" w:rsidR="00024D06" w:rsidRDefault="00024D06"/>
    <w:sectPr w:rsidR="00024D0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2" w:right="1304" w:bottom="1947" w:left="1134" w:header="845" w:footer="387" w:gutter="0"/>
      <w:cols w:space="720"/>
      <w:formProt w:val="0"/>
      <w:titlePg/>
      <w:docGrid w:linePitch="600" w:charSpace="90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E83AB" w14:textId="77777777" w:rsidR="00445569" w:rsidRDefault="00445569">
      <w:r>
        <w:separator/>
      </w:r>
    </w:p>
  </w:endnote>
  <w:endnote w:type="continuationSeparator" w:id="0">
    <w:p w14:paraId="1A04EFFC" w14:textId="77777777" w:rsidR="00445569" w:rsidRDefault="0044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HK Medium">
    <w:panose1 w:val="020B06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Noto Sans HK">
    <w:panose1 w:val="020B0500000000000000"/>
    <w:charset w:val="00"/>
    <w:family w:val="roman"/>
    <w:notTrueType/>
    <w:pitch w:val="default"/>
  </w:font>
  <w:font w:name="Source Sans Pro Bold">
    <w:panose1 w:val="020B0703030403020204"/>
    <w:charset w:val="00"/>
    <w:family w:val="roman"/>
    <w:pitch w:val="variable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0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ource Code Pro Light">
    <w:panose1 w:val="020B0409030403020204"/>
    <w:charset w:val="00"/>
    <w:family w:val="modern"/>
    <w:pitch w:val="fixed"/>
    <w:sig w:usb0="200002F7" w:usb1="020038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61401" w14:textId="77777777" w:rsidR="00024D06" w:rsidRDefault="00445569">
    <w:pPr>
      <w:pStyle w:val="Piedepgina-Datos"/>
      <w:ind w:left="0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de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70A84" w14:textId="77777777" w:rsidR="00024D06" w:rsidRDefault="00445569">
    <w:pPr>
      <w:pStyle w:val="Piedepgina-Datos"/>
      <w:ind w:left="0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de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9F508" w14:textId="77777777" w:rsidR="00024D06" w:rsidRDefault="00445569">
      <w:pPr>
        <w:rPr>
          <w:sz w:val="12"/>
        </w:rPr>
      </w:pPr>
      <w:r>
        <w:separator/>
      </w:r>
    </w:p>
  </w:footnote>
  <w:footnote w:type="continuationSeparator" w:id="0">
    <w:p w14:paraId="661C0D08" w14:textId="77777777" w:rsidR="00024D06" w:rsidRDefault="00445569">
      <w:pPr>
        <w:rPr>
          <w:sz w:val="12"/>
        </w:rPr>
      </w:pPr>
      <w:r>
        <w:continuationSeparator/>
      </w:r>
    </w:p>
  </w:footnote>
  <w:footnote w:id="1">
    <w:p w14:paraId="6967B15B" w14:textId="77777777" w:rsidR="00024D06" w:rsidRDefault="00445569">
      <w:pPr>
        <w:rPr>
          <w:rFonts w:ascii="Source Sans Pro" w:hAnsi="Source Sans Pro"/>
          <w:color w:val="000000"/>
          <w:sz w:val="18"/>
          <w:szCs w:val="18"/>
        </w:rPr>
      </w:pPr>
      <w:r>
        <w:rPr>
          <w:rStyle w:val="Caracteresdenotaalpie"/>
        </w:rPr>
        <w:footnoteRef/>
      </w:r>
      <w:r>
        <w:rPr>
          <w:rFonts w:ascii="Source Sans Pro" w:hAnsi="Source Sans Pro"/>
          <w:color w:val="000000"/>
          <w:sz w:val="16"/>
        </w:rPr>
        <w:t xml:space="preserve"> </w:t>
      </w:r>
      <w:r>
        <w:rPr>
          <w:rFonts w:ascii="Source Sans Pro" w:hAnsi="Source Sans Pro"/>
          <w:color w:val="000000"/>
          <w:sz w:val="18"/>
          <w:szCs w:val="18"/>
        </w:rPr>
        <w:t>La versión más reciente está disponible en</w:t>
      </w:r>
    </w:p>
    <w:p w14:paraId="4A0BEBD7" w14:textId="77777777" w:rsidR="00024D06" w:rsidRDefault="00445569">
      <w:pPr>
        <w:rPr>
          <w:color w:val="000000"/>
        </w:rPr>
      </w:pPr>
      <w:hyperlink r:id="rId1">
        <w:r>
          <w:rPr>
            <w:rStyle w:val="EnlacedeInternet"/>
            <w:rFonts w:ascii="Source Sans Pro" w:hAnsi="Source Sans Pro"/>
            <w:sz w:val="18"/>
            <w:szCs w:val="18"/>
          </w:rPr>
          <w:t>https://e3p.jrc.ec.europa.eu/publications/eu-code-conduct-energyconsumption-broadband-equipment-version-71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8B5D7" w14:textId="77777777" w:rsidR="00024D06" w:rsidRDefault="00445569">
    <w:pPr>
      <w:pStyle w:val="Encabezado"/>
    </w:pPr>
    <w:r>
      <w:rPr>
        <w:noProof/>
      </w:rPr>
      <w:drawing>
        <wp:anchor distT="0" distB="0" distL="114300" distR="114300" simplePos="0" relativeHeight="2" behindDoc="0" locked="0" layoutInCell="0" allowOverlap="1" wp14:anchorId="57282C54" wp14:editId="3B396670">
          <wp:simplePos x="0" y="0"/>
          <wp:positionH relativeFrom="column">
            <wp:posOffset>0</wp:posOffset>
          </wp:positionH>
          <wp:positionV relativeFrom="topMargin">
            <wp:posOffset>682625</wp:posOffset>
          </wp:positionV>
          <wp:extent cx="485775" cy="461010"/>
          <wp:effectExtent l="0" t="0" r="0" b="0"/>
          <wp:wrapThrough wrapText="bothSides">
            <wp:wrapPolygon edited="0">
              <wp:start x="7567" y="0"/>
              <wp:lineTo x="790" y="14245"/>
              <wp:lineTo x="-57" y="19603"/>
              <wp:lineTo x="-57" y="20502"/>
              <wp:lineTo x="20277" y="20502"/>
              <wp:lineTo x="20277" y="18712"/>
              <wp:lineTo x="19429" y="14245"/>
              <wp:lineTo x="13499" y="0"/>
              <wp:lineTo x="7567" y="0"/>
            </wp:wrapPolygon>
          </wp:wrapThrough>
          <wp:docPr id="1" name="Imagen1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Dibujo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61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DFEAA" w14:textId="77777777" w:rsidR="00024D06" w:rsidRDefault="00445569">
    <w:pPr>
      <w:pStyle w:val="Encabezado"/>
      <w:ind w:left="-142"/>
    </w:pPr>
    <w:r>
      <w:rPr>
        <w:noProof/>
      </w:rPr>
      <w:drawing>
        <wp:anchor distT="0" distB="0" distL="0" distR="0" simplePos="0" relativeHeight="3" behindDoc="0" locked="0" layoutInCell="0" allowOverlap="1" wp14:anchorId="241B9AF3" wp14:editId="521421F6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15430" cy="835660"/>
          <wp:effectExtent l="0" t="0" r="0" b="0"/>
          <wp:wrapSquare wrapText="largest"/>
          <wp:docPr id="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15430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EA40D0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392246183" o:spid="_x0000_i1025" type="#_x0000_t75" style="width:9.5pt;height:9.5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318E655F">
            <wp:extent cx="120650" cy="120650"/>
            <wp:effectExtent l="0" t="0" r="0" b="0"/>
            <wp:docPr id="392246183" name="Imagen 392246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F15796F"/>
    <w:multiLevelType w:val="multilevel"/>
    <w:tmpl w:val="E6A4A042"/>
    <w:lvl w:ilvl="0">
      <w:start w:val="1"/>
      <w:numFmt w:val="bullet"/>
      <w:pStyle w:val="Tabla-CheckList"/>
      <w:lvlText w:val="•"/>
      <w:lvlPicBulletId w:val="0"/>
      <w:lvlJc w:val="left"/>
      <w:pPr>
        <w:tabs>
          <w:tab w:val="num" w:pos="0"/>
        </w:tabs>
        <w:ind w:left="454" w:hanging="39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2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4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1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8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57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7C6E31"/>
    <w:multiLevelType w:val="multilevel"/>
    <w:tmpl w:val="4C68A7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68377BC"/>
    <w:multiLevelType w:val="multilevel"/>
    <w:tmpl w:val="8D58F1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C3F03B7"/>
    <w:multiLevelType w:val="multilevel"/>
    <w:tmpl w:val="7FD0B520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43C3CB5"/>
    <w:multiLevelType w:val="multilevel"/>
    <w:tmpl w:val="6A4A038C"/>
    <w:lvl w:ilvl="0">
      <w:start w:val="1"/>
      <w:numFmt w:val="decimal"/>
      <w:pStyle w:val="Tabla-Ttulo"/>
      <w:lvlText w:val="%1."/>
      <w:lvlJc w:val="left"/>
      <w:pPr>
        <w:tabs>
          <w:tab w:val="num" w:pos="0"/>
        </w:tabs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815488329">
    <w:abstractNumId w:val="3"/>
  </w:num>
  <w:num w:numId="2" w16cid:durableId="1510438572">
    <w:abstractNumId w:val="0"/>
  </w:num>
  <w:num w:numId="3" w16cid:durableId="4793612">
    <w:abstractNumId w:val="4"/>
  </w:num>
  <w:num w:numId="4" w16cid:durableId="993678895">
    <w:abstractNumId w:val="2"/>
  </w:num>
  <w:num w:numId="5" w16cid:durableId="9261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4D06"/>
    <w:rsid w:val="00024D06"/>
    <w:rsid w:val="000E770D"/>
    <w:rsid w:val="00445569"/>
    <w:rsid w:val="00497F19"/>
    <w:rsid w:val="0086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BFC8F3"/>
  <w15:docId w15:val="{46B82DC8-EB0F-47A9-B296-F9F953A2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extAlignment w:val="baseline"/>
    </w:pPr>
  </w:style>
  <w:style w:type="paragraph" w:styleId="Ttulo1">
    <w:name w:val="heading 1"/>
    <w:next w:val="LO-Normal1"/>
    <w:uiPriority w:val="9"/>
    <w:qFormat/>
    <w:pPr>
      <w:keepNext/>
      <w:numPr>
        <w:numId w:val="1"/>
      </w:numPr>
      <w:spacing w:line="360" w:lineRule="auto"/>
      <w:textAlignment w:val="baseline"/>
      <w:outlineLvl w:val="0"/>
    </w:pPr>
    <w:rPr>
      <w:rFonts w:ascii="Source Sans Pro" w:eastAsia="Times New Roman" w:hAnsi="Source Sans Pro"/>
      <w:bCs/>
      <w:color w:val="367D3C"/>
      <w:kern w:val="2"/>
      <w:sz w:val="28"/>
      <w:szCs w:val="32"/>
      <w:lang w:eastAsia="en-US"/>
    </w:rPr>
  </w:style>
  <w:style w:type="paragraph" w:styleId="Ttulo2">
    <w:name w:val="heading 2"/>
    <w:next w:val="LO-Normal1"/>
    <w:uiPriority w:val="9"/>
    <w:semiHidden/>
    <w:unhideWhenUsed/>
    <w:qFormat/>
    <w:pPr>
      <w:keepNext/>
      <w:numPr>
        <w:ilvl w:val="1"/>
        <w:numId w:val="1"/>
      </w:numPr>
      <w:spacing w:line="360" w:lineRule="auto"/>
      <w:textAlignment w:val="baseline"/>
      <w:outlineLvl w:val="1"/>
    </w:pPr>
    <w:rPr>
      <w:rFonts w:ascii="Source Sans Pro" w:eastAsia="Noto Sans HK Medium" w:hAnsi="Source Sans Pro"/>
      <w:bCs/>
      <w:iCs/>
      <w:color w:val="000000"/>
      <w:sz w:val="26"/>
      <w:szCs w:val="32"/>
      <w:lang w:eastAsia="en-US"/>
    </w:rPr>
  </w:style>
  <w:style w:type="paragraph" w:styleId="Ttulo3">
    <w:name w:val="heading 3"/>
    <w:basedOn w:val="LO-Normal1"/>
    <w:uiPriority w:val="9"/>
    <w:semiHidden/>
    <w:unhideWhenUsed/>
    <w:qFormat/>
    <w:pPr>
      <w:keepNext/>
      <w:keepLines/>
      <w:numPr>
        <w:ilvl w:val="2"/>
        <w:numId w:val="1"/>
      </w:numPr>
      <w:spacing w:before="120" w:after="200"/>
      <w:jc w:val="left"/>
      <w:outlineLvl w:val="2"/>
    </w:pPr>
    <w:rPr>
      <w:rFonts w:ascii="Source Sans Pro Light" w:eastAsia="Times New Roman" w:hAnsi="Source Sans Pro Light"/>
      <w:color w:val="367D3C"/>
      <w:sz w:val="28"/>
      <w:szCs w:val="24"/>
    </w:rPr>
  </w:style>
  <w:style w:type="paragraph" w:styleId="Ttulo4">
    <w:name w:val="heading 4"/>
    <w:basedOn w:val="LO-Normal1"/>
    <w:next w:val="LO-Normal1"/>
    <w:uiPriority w:val="9"/>
    <w:semiHidden/>
    <w:unhideWhenUsed/>
    <w:qFormat/>
    <w:pPr>
      <w:keepNext/>
      <w:keepLines/>
      <w:numPr>
        <w:ilvl w:val="3"/>
        <w:numId w:val="1"/>
      </w:numPr>
      <w:spacing w:before="40" w:after="120"/>
      <w:jc w:val="left"/>
      <w:outlineLvl w:val="3"/>
    </w:pPr>
    <w:rPr>
      <w:rFonts w:eastAsia="Times New Roman"/>
      <w:i/>
      <w:iCs/>
      <w:color w:val="367D3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qFormat/>
    <w:rPr>
      <w:rFonts w:ascii="Source Sans Pro" w:eastAsia="Noto Sans HK" w:hAnsi="Source Sans Pro"/>
      <w:color w:val="21211E"/>
      <w:sz w:val="21"/>
      <w:szCs w:val="18"/>
      <w:lang w:eastAsia="en-US"/>
    </w:rPr>
  </w:style>
  <w:style w:type="character" w:customStyle="1" w:styleId="Ttulo1Car">
    <w:name w:val="Título 1 Car"/>
    <w:qFormat/>
    <w:rPr>
      <w:rFonts w:ascii="Source Sans Pro Bold" w:eastAsia="Times New Roman" w:hAnsi="Source Sans Pro Bold"/>
      <w:bCs/>
      <w:color w:val="367D3C"/>
      <w:kern w:val="2"/>
      <w:sz w:val="52"/>
      <w:szCs w:val="32"/>
      <w:lang w:eastAsia="en-US"/>
    </w:rPr>
  </w:style>
  <w:style w:type="character" w:customStyle="1" w:styleId="Ttulo2Car">
    <w:name w:val="Título 2 Car"/>
    <w:qFormat/>
    <w:rPr>
      <w:rFonts w:ascii="Source Sans Pro Semibold" w:eastAsia="Noto Sans HK Medium" w:hAnsi="Source Sans Pro Semibold"/>
      <w:bCs/>
      <w:iCs/>
      <w:color w:val="000000"/>
      <w:sz w:val="36"/>
      <w:szCs w:val="32"/>
      <w:lang w:eastAsia="en-US"/>
    </w:rPr>
  </w:style>
  <w:style w:type="character" w:customStyle="1" w:styleId="Ttulo3Car">
    <w:name w:val="Título 3 Car"/>
    <w:basedOn w:val="Fuentedeprrafopredeter"/>
    <w:qFormat/>
    <w:rPr>
      <w:rFonts w:ascii="Source Sans Pro Light" w:eastAsia="Times New Roman" w:hAnsi="Source Sans Pro Light" w:cs="Times New Roman"/>
      <w:color w:val="367D3C"/>
      <w:sz w:val="28"/>
      <w:szCs w:val="24"/>
      <w:lang w:eastAsia="en-US"/>
    </w:rPr>
  </w:style>
  <w:style w:type="character" w:customStyle="1" w:styleId="PiedepginaCar">
    <w:name w:val="Pie de página Car"/>
    <w:basedOn w:val="Fuentedeprrafopredeter"/>
    <w:qFormat/>
    <w:rPr>
      <w:rFonts w:ascii="Source Sans Pro" w:eastAsia="Noto Sans HK" w:hAnsi="Source Sans Pro"/>
      <w:color w:val="21211E"/>
      <w:sz w:val="21"/>
      <w:szCs w:val="18"/>
      <w:lang w:eastAsia="en-US"/>
    </w:rPr>
  </w:style>
  <w:style w:type="character" w:customStyle="1" w:styleId="SubttuloCar">
    <w:name w:val="Subtítulo Car"/>
    <w:basedOn w:val="Fuentedeprrafopredeter"/>
    <w:qFormat/>
    <w:rPr>
      <w:rFonts w:ascii="Calibri" w:eastAsia="Times New Roman" w:hAnsi="Calibri" w:cs="Times New Roman"/>
      <w:color w:val="5A5A5A"/>
      <w:spacing w:val="15"/>
      <w:sz w:val="21"/>
      <w:szCs w:val="22"/>
      <w:lang w:eastAsia="en-US"/>
    </w:rPr>
  </w:style>
  <w:style w:type="character" w:customStyle="1" w:styleId="Ttulo4Car">
    <w:name w:val="Título 4 Car"/>
    <w:basedOn w:val="Fuentedeprrafopredeter"/>
    <w:qFormat/>
    <w:rPr>
      <w:rFonts w:ascii="Source Sans Pro" w:eastAsia="Times New Roman" w:hAnsi="Source Sans Pro" w:cs="Times New Roman"/>
      <w:i/>
      <w:iCs/>
      <w:color w:val="367D3C"/>
      <w:sz w:val="24"/>
      <w:szCs w:val="18"/>
      <w:lang w:eastAsia="en-US"/>
    </w:rPr>
  </w:style>
  <w:style w:type="character" w:customStyle="1" w:styleId="WWCharLFO1LVL1">
    <w:name w:val="WW_CharLFO1LVL1"/>
    <w:qFormat/>
    <w:rPr>
      <w:sz w:val="22"/>
    </w:rPr>
  </w:style>
  <w:style w:type="character" w:customStyle="1" w:styleId="WWCharLFO1LVL2">
    <w:name w:val="WW_CharLFO1LVL2"/>
    <w:qFormat/>
    <w:rPr>
      <w:rFonts w:ascii="Courier New" w:hAnsi="Courier New" w:cs="Courier New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Symbol" w:hAnsi="Symbol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Symbol" w:hAnsi="Symbol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WWCharLFO2LVL1">
    <w:name w:val="WW_CharLFO2LVL1"/>
    <w:qFormat/>
    <w:rPr>
      <w:rFonts w:ascii="Noto Sans HK Medium" w:eastAsia="Noto Sans HK Medium" w:hAnsi="Noto Sans HK Medium"/>
      <w:color w:val="FFFFFF"/>
    </w:rPr>
  </w:style>
  <w:style w:type="character" w:customStyle="1" w:styleId="WWCharLFO3LVL1">
    <w:name w:val="WW_CharLFO3LVL1"/>
    <w:qFormat/>
    <w:rPr>
      <w:sz w:val="22"/>
    </w:rPr>
  </w:style>
  <w:style w:type="character" w:customStyle="1" w:styleId="WWCharLFO3LVL2">
    <w:name w:val="WW_CharLFO3LVL2"/>
    <w:qFormat/>
    <w:rPr>
      <w:rFonts w:ascii="Courier New" w:hAnsi="Courier New" w:cs="Courier New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Symbol" w:hAnsi="Symbol"/>
    </w:rPr>
  </w:style>
  <w:style w:type="character" w:customStyle="1" w:styleId="WWCharLFO3LVL5">
    <w:name w:val="WW_CharLFO3LVL5"/>
    <w:qFormat/>
    <w:rPr>
      <w:rFonts w:ascii="Courier New" w:hAnsi="Courier New" w:cs="Courier New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Symbol" w:hAnsi="Symbol"/>
    </w:rPr>
  </w:style>
  <w:style w:type="character" w:customStyle="1" w:styleId="WWCharLFO3LVL8">
    <w:name w:val="WW_CharLFO3LVL8"/>
    <w:qFormat/>
    <w:rPr>
      <w:rFonts w:ascii="Courier New" w:hAnsi="Courier New" w:cs="Courier New"/>
    </w:rPr>
  </w:style>
  <w:style w:type="character" w:customStyle="1" w:styleId="WWCharLFO3LVL9">
    <w:name w:val="WW_CharLFO3LVL9"/>
    <w:qFormat/>
    <w:rPr>
      <w:rFonts w:ascii="Wingdings" w:hAnsi="Wingdings"/>
    </w:rPr>
  </w:style>
  <w:style w:type="character" w:customStyle="1" w:styleId="WWCharLFO4LVL1">
    <w:name w:val="WW_CharLFO4LVL1"/>
    <w:qFormat/>
    <w:rPr>
      <w:rFonts w:ascii="Noto Sans HK Medium" w:eastAsia="Noto Sans HK Medium" w:hAnsi="Noto Sans HK Medium"/>
      <w:color w:val="FFFFFF"/>
    </w:rPr>
  </w:style>
  <w:style w:type="character" w:customStyle="1" w:styleId="Vietas">
    <w:name w:val="Viñetas"/>
    <w:qFormat/>
  </w:style>
  <w:style w:type="character" w:customStyle="1" w:styleId="EnlacedeInternet">
    <w:name w:val="Enlace de Internet"/>
    <w:basedOn w:val="Fuentedeprrafopredeter"/>
    <w:uiPriority w:val="99"/>
    <w:unhideWhenUsed/>
    <w:rsid w:val="00B24000"/>
    <w:rPr>
      <w:color w:val="0563C1" w:themeColor="hyperlink"/>
      <w:u w:val="single"/>
    </w:rPr>
  </w:style>
  <w:style w:type="character" w:customStyle="1" w:styleId="Enlacedelndice">
    <w:name w:val="Enlace del índice"/>
    <w:qFormat/>
  </w:style>
  <w:style w:type="character" w:customStyle="1" w:styleId="Smbolosdenumeracin">
    <w:name w:val="Símbolos de numeración"/>
    <w:qFormat/>
  </w:style>
  <w:style w:type="character" w:customStyle="1" w:styleId="EnlacedeInternetvisitado">
    <w:name w:val="Enlace de Internet visitado"/>
    <w:rPr>
      <w:color w:val="80000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TextocomentarioCar">
    <w:name w:val="Texto comentario Car"/>
    <w:basedOn w:val="Fuentedeprrafopredeter"/>
    <w:link w:val="Textocomentario"/>
    <w:qFormat/>
  </w:style>
  <w:style w:type="character" w:styleId="Refdecomentario">
    <w:name w:val="annotation reference"/>
    <w:basedOn w:val="Fuentedeprrafopredeter"/>
    <w:qFormat/>
    <w:rPr>
      <w:sz w:val="16"/>
      <w:szCs w:val="16"/>
    </w:rPr>
  </w:style>
  <w:style w:type="character" w:customStyle="1" w:styleId="AsuntodelcomentarioCar">
    <w:name w:val="Asunto del comentario Car"/>
    <w:basedOn w:val="TextocomentarioCar"/>
    <w:link w:val="Asuntodelcomentario"/>
    <w:qFormat/>
    <w:rPr>
      <w:b/>
      <w:bCs/>
    </w:rPr>
  </w:style>
  <w:style w:type="character" w:styleId="Mencinsinresolver">
    <w:name w:val="Unresolved Mention"/>
    <w:basedOn w:val="Fuentedeprrafopredeter"/>
    <w:qFormat/>
    <w:rPr>
      <w:color w:val="605E5C"/>
      <w:shd w:val="clear" w:color="auto" w:fill="E1DFDD"/>
    </w:rPr>
  </w:style>
  <w:style w:type="character" w:customStyle="1" w:styleId="Caracteresdenotaalpie">
    <w:name w:val="Caracteres de nota al pie"/>
    <w:qFormat/>
  </w:style>
  <w:style w:type="character" w:customStyle="1" w:styleId="Ancladenotaalpie">
    <w:name w:val="Ancla de nota al pie"/>
    <w:rPr>
      <w:vertAlign w:val="superscript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Textoindependiente">
    <w:name w:val="Body Text"/>
    <w:basedOn w:val="Normal"/>
    <w:pPr>
      <w:spacing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1">
    <w:name w:val="LO-Normal1"/>
    <w:qFormat/>
    <w:pPr>
      <w:spacing w:line="360" w:lineRule="auto"/>
      <w:jc w:val="both"/>
      <w:textAlignment w:val="baseline"/>
    </w:pPr>
    <w:rPr>
      <w:rFonts w:ascii="Source Sans Pro" w:eastAsia="Noto Sans HK" w:hAnsi="Source Sans Pro"/>
      <w:color w:val="21211E"/>
      <w:sz w:val="21"/>
      <w:szCs w:val="18"/>
      <w:lang w:eastAsia="en-US"/>
    </w:rPr>
  </w:style>
  <w:style w:type="paragraph" w:customStyle="1" w:styleId="Cabecera-Centrodirectivo">
    <w:name w:val="Cabecera - Centro directivo"/>
    <w:autoRedefine/>
    <w:qFormat/>
    <w:pPr>
      <w:spacing w:after="283"/>
      <w:textAlignment w:val="baseline"/>
    </w:pPr>
    <w:rPr>
      <w:rFonts w:ascii="Source Sans Pro" w:eastAsia="Noto Sans HK" w:hAnsi="Source Sans Pro"/>
      <w:sz w:val="18"/>
      <w:szCs w:val="16"/>
      <w:lang w:eastAsia="en-US"/>
    </w:rPr>
  </w:style>
  <w:style w:type="paragraph" w:customStyle="1" w:styleId="Cabecera-Consejera">
    <w:name w:val="Cabecera - Consejería"/>
    <w:next w:val="Cabecera-Centrodirectivo"/>
    <w:autoRedefine/>
    <w:qFormat/>
    <w:pPr>
      <w:spacing w:after="57"/>
      <w:textAlignment w:val="baseline"/>
    </w:pPr>
    <w:rPr>
      <w:rFonts w:ascii="Source Sans Pro Semibold" w:eastAsia="Noto Sans HK Medium" w:hAnsi="Source Sans Pro Semibold"/>
      <w:b/>
      <w:bCs/>
      <w:sz w:val="18"/>
      <w:szCs w:val="17"/>
      <w:lang w:eastAsia="en-US"/>
    </w:rPr>
  </w:style>
  <w:style w:type="paragraph" w:customStyle="1" w:styleId="Cabecera-NombreConsejeraCentrado">
    <w:name w:val="Cabecera - Nombre Consejería Centrado"/>
    <w:basedOn w:val="LO-Normal1"/>
    <w:autoRedefine/>
    <w:qFormat/>
    <w:pPr>
      <w:spacing w:after="280"/>
      <w:jc w:val="center"/>
    </w:pPr>
    <w:rPr>
      <w:rFonts w:ascii="Source Sans Pro Semibold" w:eastAsia="Noto Sans HK Medium" w:hAnsi="Source Sans Pro Semibold"/>
      <w:sz w:val="18"/>
      <w:szCs w:val="14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Cabeceraypie"/>
    <w:rPr>
      <w:rFonts w:ascii="Source Sans Pro" w:hAnsi="Source Sans Pro"/>
    </w:rPr>
  </w:style>
  <w:style w:type="paragraph" w:customStyle="1" w:styleId="FAX-Datos">
    <w:name w:val="FAX - Datos"/>
    <w:basedOn w:val="LO-Normal1"/>
    <w:autoRedefine/>
    <w:qFormat/>
    <w:pPr>
      <w:spacing w:after="120"/>
    </w:pPr>
    <w:rPr>
      <w:rFonts w:ascii="Source Sans Pro Semibold" w:eastAsia="Noto Sans HK Medium" w:hAnsi="Source Sans Pro Semibold"/>
      <w:color w:val="000000"/>
      <w:sz w:val="22"/>
    </w:rPr>
  </w:style>
  <w:style w:type="paragraph" w:customStyle="1" w:styleId="FAX-Mensaje">
    <w:name w:val="FAX - Mensaje"/>
    <w:basedOn w:val="LO-Normal1"/>
    <w:autoRedefine/>
    <w:qFormat/>
    <w:pPr>
      <w:spacing w:before="120"/>
      <w:jc w:val="left"/>
    </w:pPr>
    <w:rPr>
      <w:rFonts w:ascii="Source Sans Pro Semibold" w:hAnsi="Source Sans Pro Semibold"/>
      <w:sz w:val="22"/>
    </w:rPr>
  </w:style>
  <w:style w:type="paragraph" w:customStyle="1" w:styleId="Formulario-ComuDatos">
    <w:name w:val="Formulario - Comu. Datos"/>
    <w:basedOn w:val="Encabezado"/>
    <w:autoRedefine/>
    <w:qFormat/>
    <w:rPr>
      <w:rFonts w:eastAsia="Noto Sans HK Medium"/>
      <w:color w:val="000000"/>
    </w:rPr>
  </w:style>
  <w:style w:type="paragraph" w:customStyle="1" w:styleId="Formulario-Ttulos">
    <w:name w:val="Formulario - Títulos"/>
    <w:autoRedefine/>
    <w:qFormat/>
    <w:pPr>
      <w:textAlignment w:val="baseline"/>
    </w:pPr>
    <w:rPr>
      <w:rFonts w:ascii="Source Sans Pro Bold" w:eastAsia="Noto Sans HK" w:hAnsi="Source Sans Pro Bold"/>
      <w:bCs/>
      <w:color w:val="367D3C"/>
      <w:sz w:val="24"/>
      <w:szCs w:val="19"/>
      <w:lang w:eastAsia="en-US"/>
    </w:rPr>
  </w:style>
  <w:style w:type="paragraph" w:customStyle="1" w:styleId="Formulario-Datos">
    <w:name w:val="Formulario - Datos"/>
    <w:basedOn w:val="Formulario-Ttulos"/>
    <w:autoRedefine/>
    <w:qFormat/>
    <w:pPr>
      <w:spacing w:before="56" w:line="276" w:lineRule="auto"/>
    </w:pPr>
    <w:rPr>
      <w:rFonts w:ascii="Source Sans Pro" w:hAnsi="Source Sans Pro"/>
      <w:bCs w:val="0"/>
      <w:color w:val="C9211E"/>
      <w:sz w:val="21"/>
    </w:rPr>
  </w:style>
  <w:style w:type="paragraph" w:customStyle="1" w:styleId="Formulario-Destinatario">
    <w:name w:val="Formulario - Destinatario"/>
    <w:autoRedefine/>
    <w:qFormat/>
    <w:pPr>
      <w:textAlignment w:val="baseline"/>
    </w:pPr>
    <w:rPr>
      <w:rFonts w:ascii="Source Sans Pro" w:eastAsia="Noto Sans HK" w:hAnsi="Source Sans Pro"/>
      <w:color w:val="007942"/>
      <w:sz w:val="21"/>
      <w:szCs w:val="19"/>
      <w:lang w:eastAsia="en-US"/>
    </w:rPr>
  </w:style>
  <w:style w:type="paragraph" w:customStyle="1" w:styleId="H6-Anotaciones">
    <w:name w:val="H6 - Anotaciones"/>
    <w:autoRedefine/>
    <w:qFormat/>
    <w:pPr>
      <w:textAlignment w:val="baseline"/>
    </w:pPr>
    <w:rPr>
      <w:rFonts w:ascii="Source Sans Pro" w:eastAsia="Noto Sans HK" w:hAnsi="Source Sans Pro"/>
      <w:color w:val="21211E"/>
      <w:sz w:val="17"/>
      <w:szCs w:val="14"/>
      <w:lang w:eastAsia="en-US"/>
    </w:rPr>
  </w:style>
  <w:style w:type="paragraph" w:customStyle="1" w:styleId="Invitacin-Cargocompleto">
    <w:name w:val="Invitación - Cargo completo"/>
    <w:basedOn w:val="LO-Normal1"/>
    <w:autoRedefine/>
    <w:qFormat/>
    <w:pPr>
      <w:spacing w:before="120" w:line="163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LO-Normal1"/>
    <w:autoRedefine/>
    <w:qFormat/>
    <w:pPr>
      <w:spacing w:line="163" w:lineRule="auto"/>
    </w:pPr>
    <w:rPr>
      <w:rFonts w:ascii="Source Sans Pro Semibold" w:eastAsia="Noto Sans HK Medium" w:hAnsi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LO-Normal1"/>
    <w:autoRedefine/>
    <w:qFormat/>
    <w:pPr>
      <w:spacing w:line="163" w:lineRule="auto"/>
      <w:jc w:val="left"/>
    </w:pPr>
    <w:rPr>
      <w:rFonts w:ascii="Source Sans Pro Bold" w:hAnsi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LO-Normal1"/>
    <w:autoRedefine/>
    <w:qFormat/>
    <w:pPr>
      <w:spacing w:line="163" w:lineRule="auto"/>
      <w:jc w:val="left"/>
    </w:pPr>
    <w:rPr>
      <w:color w:val="auto"/>
      <w:sz w:val="22"/>
      <w:szCs w:val="20"/>
    </w:rPr>
  </w:style>
  <w:style w:type="paragraph" w:customStyle="1" w:styleId="Invitacin-Ttulo">
    <w:name w:val="Invitación - Título"/>
    <w:basedOn w:val="LO-Normal1"/>
    <w:autoRedefine/>
    <w:qFormat/>
    <w:pPr>
      <w:spacing w:after="160" w:line="163" w:lineRule="auto"/>
      <w:jc w:val="left"/>
    </w:pPr>
    <w:rPr>
      <w:color w:val="auto"/>
      <w:sz w:val="48"/>
      <w:szCs w:val="44"/>
    </w:rPr>
  </w:style>
  <w:style w:type="paragraph" w:styleId="Prrafodelista">
    <w:name w:val="List Paragraph"/>
    <w:basedOn w:val="LO-Normal1"/>
    <w:qFormat/>
    <w:pPr>
      <w:ind w:left="720"/>
    </w:pPr>
  </w:style>
  <w:style w:type="paragraph" w:styleId="Piedepgina">
    <w:name w:val="footer"/>
    <w:basedOn w:val="Cabeceraypie"/>
  </w:style>
  <w:style w:type="paragraph" w:customStyle="1" w:styleId="Piedepgina-Datos">
    <w:name w:val="Pie de página - Datos"/>
    <w:autoRedefine/>
    <w:qFormat/>
    <w:pPr>
      <w:spacing w:before="80" w:after="80"/>
      <w:ind w:left="5783"/>
      <w:jc w:val="center"/>
      <w:textAlignment w:val="baseline"/>
    </w:pPr>
    <w:rPr>
      <w:rFonts w:ascii="Source Sans Pro" w:eastAsia="Noto Sans HK" w:hAnsi="Source Sans Pro"/>
      <w:color w:val="5C8526"/>
      <w:sz w:val="16"/>
      <w:szCs w:val="14"/>
      <w:lang w:eastAsia="en-US"/>
    </w:rPr>
  </w:style>
  <w:style w:type="paragraph" w:styleId="Sinespaciado">
    <w:name w:val="No Spacing"/>
    <w:qFormat/>
    <w:pPr>
      <w:jc w:val="both"/>
      <w:textAlignment w:val="baseline"/>
    </w:pPr>
    <w:rPr>
      <w:rFonts w:ascii="Source Sans Pro Light" w:eastAsia="Noto Sans HK" w:hAnsi="Source Sans Pro Light"/>
      <w:color w:val="21211E"/>
      <w:szCs w:val="18"/>
      <w:lang w:eastAsia="en-US"/>
    </w:rPr>
  </w:style>
  <w:style w:type="paragraph" w:styleId="Subttulo">
    <w:name w:val="Subtitle"/>
    <w:basedOn w:val="LO-Normal1"/>
    <w:next w:val="LO-Normal1"/>
    <w:uiPriority w:val="11"/>
    <w:qFormat/>
    <w:pPr>
      <w:spacing w:after="160"/>
    </w:pPr>
    <w:rPr>
      <w:rFonts w:ascii="Calibri" w:eastAsia="Times New Roman" w:hAnsi="Calibri"/>
      <w:color w:val="5A5A5A"/>
      <w:spacing w:val="15"/>
      <w:szCs w:val="22"/>
    </w:rPr>
  </w:style>
  <w:style w:type="paragraph" w:customStyle="1" w:styleId="Tabla-CheckList">
    <w:name w:val="Tabla - Check List"/>
    <w:autoRedefine/>
    <w:qFormat/>
    <w:pPr>
      <w:numPr>
        <w:numId w:val="2"/>
      </w:numPr>
      <w:spacing w:before="120" w:after="120"/>
      <w:textAlignment w:val="baseline"/>
    </w:pPr>
    <w:rPr>
      <w:rFonts w:ascii="Source Sans Pro" w:eastAsia="Noto Sans HK" w:hAnsi="Source Sans Pro"/>
      <w:color w:val="367D3C"/>
      <w:sz w:val="18"/>
      <w:szCs w:val="19"/>
      <w:lang w:eastAsia="en-US"/>
    </w:rPr>
  </w:style>
  <w:style w:type="paragraph" w:customStyle="1" w:styleId="Tabla-Contenidodesarrollo">
    <w:name w:val="Tabla - Contenido desarrollo"/>
    <w:autoRedefine/>
    <w:qFormat/>
    <w:pPr>
      <w:tabs>
        <w:tab w:val="left" w:pos="4394"/>
      </w:tabs>
      <w:spacing w:before="120" w:after="120"/>
      <w:ind w:left="448"/>
      <w:textAlignment w:val="baseline"/>
    </w:pPr>
    <w:rPr>
      <w:rFonts w:ascii="Source Sans Pro" w:eastAsia="Noto Sans HK" w:hAnsi="Source Sans Pro"/>
      <w:color w:val="367D3C"/>
      <w:sz w:val="18"/>
      <w:szCs w:val="19"/>
      <w:lang w:eastAsia="en-US"/>
    </w:rPr>
  </w:style>
  <w:style w:type="paragraph" w:customStyle="1" w:styleId="Tabla-Ttulo">
    <w:name w:val="Tabla - Título"/>
    <w:autoRedefine/>
    <w:qFormat/>
    <w:pPr>
      <w:numPr>
        <w:numId w:val="3"/>
      </w:numPr>
      <w:textAlignment w:val="baseline"/>
    </w:pPr>
    <w:rPr>
      <w:rFonts w:ascii="Source Sans Pro Semibold" w:eastAsia="Noto Sans HK Medium" w:hAnsi="Source Sans Pro Semibold"/>
      <w:color w:val="FFFFFF"/>
      <w:sz w:val="22"/>
      <w:szCs w:val="19"/>
      <w:lang w:eastAsia="en-US"/>
    </w:rPr>
  </w:style>
  <w:style w:type="paragraph" w:customStyle="1" w:styleId="Tabla-Ttulodecampo">
    <w:name w:val="Tabla - Título de campo"/>
    <w:autoRedefine/>
    <w:qFormat/>
    <w:pPr>
      <w:spacing w:before="120"/>
      <w:textAlignment w:val="baseline"/>
    </w:pPr>
    <w:rPr>
      <w:rFonts w:ascii="Source Sans Pro" w:eastAsia="Noto Sans HK" w:hAnsi="Source Sans Pro"/>
      <w:color w:val="367D3C"/>
      <w:sz w:val="18"/>
      <w:szCs w:val="19"/>
      <w:lang w:eastAsia="en-US"/>
    </w:rPr>
  </w:style>
  <w:style w:type="paragraph" w:customStyle="1" w:styleId="Cabecera-Delegacindelgobierno">
    <w:name w:val="Cabecera - Delegación del gobierno"/>
    <w:basedOn w:val="Cabecera-Consejera"/>
    <w:autoRedefine/>
    <w:qFormat/>
  </w:style>
  <w:style w:type="paragraph" w:customStyle="1" w:styleId="Piedepgina-Centrado">
    <w:name w:val="Pie de página - Centrado"/>
    <w:basedOn w:val="Piedepgina-Datos"/>
    <w:autoRedefine/>
    <w:qFormat/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LO-Normal">
    <w:name w:val="LO-Normal"/>
    <w:qFormat/>
    <w:pPr>
      <w:spacing w:after="400"/>
      <w:jc w:val="both"/>
      <w:textAlignment w:val="baseline"/>
    </w:pPr>
    <w:rPr>
      <w:rFonts w:ascii="Source Sans Pro" w:eastAsia="0" w:hAnsi="Source Sans Pro" w:cs="Liberation Serif"/>
      <w:color w:val="21211E"/>
      <w:kern w:val="2"/>
      <w:sz w:val="21"/>
      <w:szCs w:val="18"/>
      <w:lang w:eastAsia="hi-IN"/>
    </w:rPr>
  </w:style>
  <w:style w:type="paragraph" w:styleId="Ttulodendice">
    <w:name w:val="index heading"/>
    <w:basedOn w:val="Ttulo"/>
  </w:style>
  <w:style w:type="paragraph" w:styleId="Encabezadodelista">
    <w:name w:val="toa heading"/>
    <w:basedOn w:val="Ttulodendice"/>
    <w:qFormat/>
  </w:style>
  <w:style w:type="paragraph" w:styleId="TDC1">
    <w:name w:val="toc 1"/>
    <w:basedOn w:val="ndice"/>
    <w:pPr>
      <w:tabs>
        <w:tab w:val="right" w:leader="dot" w:pos="9638"/>
      </w:tabs>
    </w:pPr>
    <w:rPr>
      <w:rFonts w:ascii="Source Sans Pro" w:hAnsi="Source Sans Pro"/>
      <w:color w:val="367D3C"/>
    </w:rPr>
  </w:style>
  <w:style w:type="paragraph" w:styleId="TDC2">
    <w:name w:val="toc 2"/>
    <w:basedOn w:val="ndice"/>
    <w:pPr>
      <w:tabs>
        <w:tab w:val="right" w:leader="dot" w:pos="9355"/>
      </w:tabs>
      <w:ind w:left="283"/>
    </w:pPr>
  </w:style>
  <w:style w:type="paragraph" w:styleId="TDC3">
    <w:name w:val="toc 3"/>
    <w:basedOn w:val="ndice"/>
    <w:pPr>
      <w:tabs>
        <w:tab w:val="right" w:leader="dot" w:pos="9072"/>
      </w:tabs>
      <w:ind w:left="566"/>
    </w:pPr>
  </w:style>
  <w:style w:type="paragraph" w:styleId="NormalWeb">
    <w:name w:val="Normal (Web)"/>
    <w:basedOn w:val="Normal"/>
    <w:qFormat/>
    <w:pPr>
      <w:spacing w:before="280" w:after="142" w:line="276" w:lineRule="auto"/>
      <w:textAlignment w:val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LO-Normal3">
    <w:name w:val="LO-Normal3"/>
    <w:qFormat/>
    <w:pPr>
      <w:spacing w:after="400"/>
      <w:jc w:val="both"/>
    </w:pPr>
    <w:rPr>
      <w:rFonts w:ascii="Source Sans Pro" w:eastAsia="Noto Sans HK" w:hAnsi="Source Sans Pro"/>
      <w:color w:val="21211E"/>
      <w:sz w:val="21"/>
      <w:szCs w:val="18"/>
      <w:lang w:eastAsia="en-US"/>
    </w:rPr>
  </w:style>
  <w:style w:type="paragraph" w:customStyle="1" w:styleId="FrameContents">
    <w:name w:val="Frame Contents"/>
    <w:basedOn w:val="Normal"/>
    <w:qFormat/>
  </w:style>
  <w:style w:type="paragraph" w:styleId="TtuloTDC">
    <w:name w:val="TOC Heading"/>
    <w:basedOn w:val="Ttulodendice"/>
  </w:style>
  <w:style w:type="paragraph" w:styleId="Textocomentario">
    <w:name w:val="annotation text"/>
    <w:basedOn w:val="Normal"/>
    <w:link w:val="TextocomentarioCar"/>
    <w:qFormat/>
  </w:style>
  <w:style w:type="paragraph" w:styleId="Asuntodelcomentario">
    <w:name w:val="annotation subject"/>
    <w:basedOn w:val="Textocomentario"/>
    <w:next w:val="Textocomentario"/>
    <w:link w:val="AsuntodelcomentarioCar"/>
    <w:qFormat/>
    <w:rPr>
      <w:b/>
      <w:bCs/>
    </w:rPr>
  </w:style>
  <w:style w:type="paragraph" w:styleId="Revisin">
    <w:name w:val="Revision"/>
    <w:qFormat/>
    <w:pPr>
      <w:suppressAutoHyphens w:val="0"/>
    </w:pPr>
  </w:style>
  <w:style w:type="paragraph" w:customStyle="1" w:styleId="Default">
    <w:name w:val="Default"/>
    <w:qFormat/>
    <w:pPr>
      <w:widowControl w:val="0"/>
    </w:pPr>
    <w:rPr>
      <w:rFonts w:ascii="Arial" w:hAnsi="Arial"/>
      <w:color w:val="000000"/>
      <w:sz w:val="24"/>
    </w:rPr>
  </w:style>
  <w:style w:type="paragraph" w:customStyle="1" w:styleId="centroredonda">
    <w:name w:val="centro_redonda"/>
    <w:basedOn w:val="Normal"/>
    <w:qFormat/>
    <w:rsid w:val="00845308"/>
    <w:pPr>
      <w:spacing w:beforeAutospacing="1" w:afterAutospacing="1"/>
      <w:textAlignment w:val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notapie">
    <w:name w:val="footnote text"/>
    <w:basedOn w:val="Normal"/>
    <w:pPr>
      <w:suppressLineNumbers/>
      <w:ind w:left="340" w:hanging="340"/>
    </w:pPr>
  </w:style>
  <w:style w:type="numbering" w:customStyle="1" w:styleId="LFO4">
    <w:name w:val="LFO4"/>
    <w:qFormat/>
  </w:style>
  <w:style w:type="numbering" w:customStyle="1" w:styleId="LFO5">
    <w:name w:val="LFO5"/>
    <w:qFormat/>
  </w:style>
  <w:style w:type="numbering" w:customStyle="1" w:styleId="LFO7">
    <w:name w:val="LFO7"/>
    <w:qFormat/>
  </w:style>
  <w:style w:type="numbering" w:customStyle="1" w:styleId="LFO8">
    <w:name w:val="LFO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3p.jrc.ec.europa.eu/publications/eu-code-conduct-energyconsumption-broadband-equipment-version-7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639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Disposición 15860 del BOE núm. 234 de 2021</dc:title>
  <dc:subject>BOE-A-2021-15860</dc:subject>
  <dc:creator>MINISTERIO DE HACIENDA Y FUNCIÓN PÚBLICA</dc:creator>
  <cp:keywords>ORDEN HFP/1030/2021 de 29/09/2021 MINISTERIO DE HACIENDA Y FUNCIÓN PÚBLICA BOE-A-2021-15860 BOE 234 de 2021 15860 30/09/2021</cp:keywords>
  <dc:description/>
  <cp:lastModifiedBy>ALEJANDRO MONTOYA VILCHES</cp:lastModifiedBy>
  <cp:revision>313</cp:revision>
  <cp:lastPrinted>2023-01-10T08:59:00Z</cp:lastPrinted>
  <dcterms:created xsi:type="dcterms:W3CDTF">2021-09-29T21:08:00Z</dcterms:created>
  <dcterms:modified xsi:type="dcterms:W3CDTF">2025-03-07T12:02:00Z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0x0101004998FF5320261148AA41C25B816FCE9E</vt:lpwstr>
  </property>
  <property fmtid="{D5CDD505-2E9C-101B-9397-08002B2CF9AE}" pid="3" name="MediaServiceImageTags">
    <vt:lpwstr/>
  </property>
</Properties>
</file>